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79" w:rsidRPr="00ED114A" w:rsidRDefault="00A85F79" w:rsidP="00ED11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</w:t>
      </w:r>
      <w:r w:rsidRPr="00ED114A">
        <w:rPr>
          <w:rFonts w:ascii="Arial Narrow" w:hAnsi="Arial Narrow"/>
          <w:sz w:val="24"/>
          <w:szCs w:val="24"/>
        </w:rPr>
        <w:t>enetic analysis of two spawning stocks of the short-finned squid (</w:t>
      </w:r>
      <w:r w:rsidRPr="00ED114A">
        <w:rPr>
          <w:rFonts w:ascii="Arial Narrow" w:hAnsi="Arial Narrow"/>
          <w:i/>
          <w:sz w:val="24"/>
          <w:szCs w:val="24"/>
        </w:rPr>
        <w:t>Illex argentinus</w:t>
      </w:r>
      <w:r w:rsidRPr="00ED114A">
        <w:rPr>
          <w:rFonts w:ascii="Arial Narrow" w:hAnsi="Arial Narrow"/>
          <w:sz w:val="24"/>
          <w:szCs w:val="24"/>
        </w:rPr>
        <w:t>) using nuclear and mitochondrial data.</w:t>
      </w:r>
    </w:p>
    <w:p w:rsidR="00A85F79" w:rsidRPr="004A1E01" w:rsidRDefault="00A85F79" w:rsidP="001340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outlineLvl w:val="0"/>
        <w:rPr>
          <w:rFonts w:ascii="Arial Narrow" w:hAnsi="Arial Narrow"/>
          <w:sz w:val="24"/>
          <w:szCs w:val="24"/>
          <w:lang w:val="es-ES"/>
        </w:rPr>
      </w:pPr>
      <w:r w:rsidRPr="004A1E01">
        <w:rPr>
          <w:rFonts w:ascii="Arial Narrow" w:hAnsi="Arial Narrow"/>
          <w:sz w:val="24"/>
          <w:szCs w:val="24"/>
          <w:lang w:val="es-ES"/>
        </w:rPr>
        <w:t>María Inés Roldán *, Laia Planella, Sandra Heras, María Victoria Fernández</w:t>
      </w:r>
    </w:p>
    <w:p w:rsidR="00A85F79" w:rsidRPr="004A1E01" w:rsidRDefault="00A85F79" w:rsidP="001340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outlineLvl w:val="0"/>
        <w:rPr>
          <w:rFonts w:ascii="Arial Narrow" w:hAnsi="Arial Narrow"/>
          <w:sz w:val="24"/>
          <w:szCs w:val="24"/>
          <w:lang w:val="es-ES"/>
        </w:rPr>
      </w:pPr>
    </w:p>
    <w:p w:rsidR="00A85F79" w:rsidRPr="00877A59" w:rsidRDefault="00A85F79" w:rsidP="00645B6B">
      <w:pPr>
        <w:rPr>
          <w:rFonts w:ascii="Arial Narrow" w:hAnsi="Arial Narrow"/>
          <w:b/>
        </w:rPr>
      </w:pPr>
      <w:r w:rsidRPr="00877A59">
        <w:rPr>
          <w:rFonts w:ascii="Arial Narrow" w:hAnsi="Arial Narrow"/>
          <w:b/>
          <w:sz w:val="24"/>
          <w:szCs w:val="24"/>
        </w:rPr>
        <w:t>Appendix 1.</w:t>
      </w:r>
    </w:p>
    <w:p w:rsidR="00A85F79" w:rsidRPr="00877A59" w:rsidRDefault="00A85F79" w:rsidP="00842AC8">
      <w:pPr>
        <w:spacing w:line="240" w:lineRule="auto"/>
        <w:rPr>
          <w:rFonts w:ascii="Arial Narrow" w:hAnsi="Arial Narrow"/>
          <w:sz w:val="24"/>
          <w:szCs w:val="24"/>
        </w:rPr>
      </w:pPr>
      <w:r w:rsidRPr="00877A59">
        <w:rPr>
          <w:rFonts w:ascii="Arial Narrow" w:hAnsi="Arial Narrow"/>
          <w:b/>
          <w:sz w:val="24"/>
          <w:szCs w:val="24"/>
        </w:rPr>
        <w:t xml:space="preserve">Table S1. </w:t>
      </w:r>
      <w:r w:rsidRPr="00877A59">
        <w:rPr>
          <w:rFonts w:ascii="Arial Narrow" w:hAnsi="Arial Narrow"/>
          <w:sz w:val="24"/>
          <w:szCs w:val="24"/>
        </w:rPr>
        <w:t xml:space="preserve">Variable nucleotide positions </w:t>
      </w:r>
      <w:r>
        <w:rPr>
          <w:rFonts w:ascii="Arial Narrow" w:hAnsi="Arial Narrow"/>
          <w:sz w:val="24"/>
          <w:szCs w:val="24"/>
        </w:rPr>
        <w:t>defining 7</w:t>
      </w:r>
      <w:r w:rsidRPr="00877A59">
        <w:rPr>
          <w:rFonts w:ascii="Arial Narrow" w:hAnsi="Arial Narrow"/>
          <w:sz w:val="24"/>
          <w:szCs w:val="24"/>
        </w:rPr>
        <w:t xml:space="preserve"> haplotypes </w:t>
      </w:r>
      <w:r>
        <w:rPr>
          <w:rFonts w:ascii="Arial Narrow" w:hAnsi="Arial Narrow"/>
          <w:sz w:val="24"/>
          <w:szCs w:val="24"/>
        </w:rPr>
        <w:t xml:space="preserve">in the 556 bp of </w:t>
      </w:r>
      <w:r w:rsidRPr="00877A59">
        <w:rPr>
          <w:rFonts w:ascii="Arial Narrow" w:hAnsi="Arial Narrow"/>
          <w:sz w:val="24"/>
          <w:szCs w:val="24"/>
        </w:rPr>
        <w:t xml:space="preserve">COI </w:t>
      </w:r>
      <w:r>
        <w:rPr>
          <w:rFonts w:ascii="Arial Narrow" w:hAnsi="Arial Narrow"/>
          <w:sz w:val="24"/>
          <w:szCs w:val="24"/>
        </w:rPr>
        <w:t>region</w:t>
      </w:r>
      <w:r w:rsidRPr="00877A59">
        <w:rPr>
          <w:rFonts w:ascii="Arial Narrow" w:hAnsi="Arial Narrow"/>
          <w:sz w:val="24"/>
          <w:szCs w:val="24"/>
        </w:rPr>
        <w:t xml:space="preserve"> with respective GenBank accession numbers. Identical nucleotide is </w:t>
      </w:r>
      <w:r>
        <w:rPr>
          <w:rFonts w:ascii="Arial Narrow" w:hAnsi="Arial Narrow"/>
          <w:sz w:val="24"/>
          <w:szCs w:val="24"/>
        </w:rPr>
        <w:t>indicated with a dot (</w:t>
      </w:r>
      <w:r w:rsidRPr="00FD1A91">
        <w:rPr>
          <w:rFonts w:ascii="Arial Narrow" w:hAnsi="Arial Narrow"/>
          <w:b/>
          <w:sz w:val="24"/>
          <w:szCs w:val="24"/>
        </w:rPr>
        <w:t>·</w:t>
      </w:r>
      <w:r w:rsidRPr="00877A59">
        <w:rPr>
          <w:rFonts w:ascii="Arial Narrow" w:hAnsi="Arial Narrow"/>
          <w:sz w:val="24"/>
          <w:szCs w:val="24"/>
        </w:rPr>
        <w:t>).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08"/>
        <w:gridCol w:w="650"/>
        <w:gridCol w:w="650"/>
        <w:gridCol w:w="650"/>
        <w:gridCol w:w="650"/>
        <w:gridCol w:w="650"/>
        <w:gridCol w:w="650"/>
        <w:gridCol w:w="2861"/>
      </w:tblGrid>
      <w:tr w:rsidR="00A85F79" w:rsidRPr="00E92828" w:rsidTr="00AD2DC6">
        <w:trPr>
          <w:trHeight w:val="20"/>
        </w:trPr>
        <w:tc>
          <w:tcPr>
            <w:tcW w:w="11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5F79" w:rsidRPr="00E92828" w:rsidRDefault="00A85F79" w:rsidP="00AD2DC6">
            <w:pPr>
              <w:spacing w:after="0" w:line="240" w:lineRule="auto"/>
              <w:jc w:val="left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COI haplotype</w:t>
            </w:r>
          </w:p>
        </w:tc>
        <w:tc>
          <w:tcPr>
            <w:tcW w:w="2248" w:type="pct"/>
            <w:gridSpan w:val="6"/>
            <w:tcBorders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5F79" w:rsidRPr="00E92828" w:rsidRDefault="00A85F79" w:rsidP="00AD2DC6">
            <w:pPr>
              <w:spacing w:after="0" w:line="240" w:lineRule="auto"/>
              <w:jc w:val="left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Variable nucleotide position</w:t>
            </w:r>
          </w:p>
        </w:tc>
        <w:tc>
          <w:tcPr>
            <w:tcW w:w="1652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85F79" w:rsidRPr="00E92828" w:rsidRDefault="00A85F79" w:rsidP="00AD2DC6">
            <w:pPr>
              <w:spacing w:after="0" w:line="240" w:lineRule="auto"/>
              <w:ind w:left="18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Accession number</w:t>
            </w:r>
          </w:p>
        </w:tc>
      </w:tr>
      <w:tr w:rsidR="00A85F79" w:rsidRPr="00E92828" w:rsidTr="00AD2DC6">
        <w:trPr>
          <w:trHeight w:val="20"/>
        </w:trPr>
        <w:tc>
          <w:tcPr>
            <w:tcW w:w="1100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375" w:type="pct"/>
            <w:tcBorders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136</w:t>
            </w:r>
          </w:p>
        </w:tc>
        <w:tc>
          <w:tcPr>
            <w:tcW w:w="375" w:type="pct"/>
            <w:tcBorders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195</w:t>
            </w:r>
          </w:p>
        </w:tc>
        <w:tc>
          <w:tcPr>
            <w:tcW w:w="375" w:type="pct"/>
            <w:tcBorders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225</w:t>
            </w:r>
          </w:p>
        </w:tc>
        <w:tc>
          <w:tcPr>
            <w:tcW w:w="375" w:type="pct"/>
            <w:tcBorders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330</w:t>
            </w:r>
          </w:p>
        </w:tc>
        <w:tc>
          <w:tcPr>
            <w:tcW w:w="375" w:type="pct"/>
            <w:tcBorders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348</w:t>
            </w:r>
          </w:p>
        </w:tc>
        <w:tc>
          <w:tcPr>
            <w:tcW w:w="375" w:type="pct"/>
            <w:tcBorders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402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</w:tr>
      <w:tr w:rsidR="00A85F79" w:rsidRPr="00E92828" w:rsidTr="00BD0750">
        <w:trPr>
          <w:trHeight w:val="20"/>
        </w:trPr>
        <w:tc>
          <w:tcPr>
            <w:tcW w:w="1100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Iah1</w:t>
            </w:r>
          </w:p>
        </w:tc>
        <w:tc>
          <w:tcPr>
            <w:tcW w:w="375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426E39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C</w:t>
            </w:r>
          </w:p>
        </w:tc>
        <w:tc>
          <w:tcPr>
            <w:tcW w:w="375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426E39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A</w:t>
            </w:r>
          </w:p>
        </w:tc>
        <w:tc>
          <w:tcPr>
            <w:tcW w:w="375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426E39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T</w:t>
            </w:r>
          </w:p>
        </w:tc>
        <w:tc>
          <w:tcPr>
            <w:tcW w:w="375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426E39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A</w:t>
            </w:r>
          </w:p>
        </w:tc>
        <w:tc>
          <w:tcPr>
            <w:tcW w:w="375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426E39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C</w:t>
            </w:r>
          </w:p>
        </w:tc>
        <w:tc>
          <w:tcPr>
            <w:tcW w:w="375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426E39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G</w:t>
            </w:r>
          </w:p>
        </w:tc>
        <w:tc>
          <w:tcPr>
            <w:tcW w:w="1652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85F79" w:rsidRPr="00E92828" w:rsidRDefault="00A85F79" w:rsidP="00426E39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KC594174</w:t>
            </w:r>
          </w:p>
        </w:tc>
      </w:tr>
      <w:tr w:rsidR="00A85F79" w:rsidRPr="00E92828" w:rsidTr="00BD0750">
        <w:trPr>
          <w:trHeight w:val="20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Iah2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3D65A4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T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4A1E01" w:rsidRDefault="00A85F79" w:rsidP="003D65A4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4A1E01" w:rsidRDefault="00A85F79" w:rsidP="003D65A4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4A1E01" w:rsidRDefault="00A85F79" w:rsidP="003D65A4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4A1E01" w:rsidRDefault="00A85F79" w:rsidP="003D65A4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4A1E01" w:rsidRDefault="00A85F79" w:rsidP="003D65A4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85F79" w:rsidRPr="00E92828" w:rsidRDefault="00A85F79" w:rsidP="003D65A4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KC594175</w:t>
            </w:r>
          </w:p>
        </w:tc>
      </w:tr>
      <w:tr w:rsidR="00A85F79" w:rsidRPr="00E92828" w:rsidTr="00BD0750">
        <w:trPr>
          <w:trHeight w:val="20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Iah3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3D65A4" w:rsidRDefault="00A85F79" w:rsidP="003D65A4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4A1E01" w:rsidRDefault="00A85F79" w:rsidP="003D65A4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4A1E01" w:rsidRDefault="00A85F79" w:rsidP="003D65A4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3D65A4" w:rsidRDefault="00A85F79" w:rsidP="003D65A4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G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3D65A4" w:rsidRDefault="00A85F79" w:rsidP="003D65A4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T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4A1E01" w:rsidRDefault="00A85F79" w:rsidP="003D65A4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85F79" w:rsidRPr="00E92828" w:rsidRDefault="00A85F79" w:rsidP="003D65A4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KC594176</w:t>
            </w:r>
          </w:p>
        </w:tc>
      </w:tr>
      <w:tr w:rsidR="00A85F79" w:rsidRPr="00E92828" w:rsidTr="00BD0750">
        <w:trPr>
          <w:trHeight w:val="20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426E39">
            <w:pPr>
              <w:spacing w:after="0" w:line="240" w:lineRule="auto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Iah4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4A1E01" w:rsidRDefault="00A85F79" w:rsidP="00426E39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426E39" w:rsidRDefault="00A85F79" w:rsidP="00426E39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426E39" w:rsidRDefault="00A85F79" w:rsidP="00426E39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426E39" w:rsidRDefault="00A85F79" w:rsidP="00426E39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G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426E39" w:rsidRDefault="00A85F79" w:rsidP="00426E39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426E39" w:rsidRDefault="00A85F79" w:rsidP="00426E39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85F79" w:rsidRPr="00E92828" w:rsidRDefault="00A85F79" w:rsidP="00426E39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KC594177</w:t>
            </w:r>
          </w:p>
        </w:tc>
      </w:tr>
      <w:tr w:rsidR="00A85F79" w:rsidRPr="00E92828" w:rsidTr="00BD0750">
        <w:trPr>
          <w:trHeight w:val="20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Iah5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426E39" w:rsidRDefault="00A85F79" w:rsidP="00426E39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4A1E01" w:rsidRDefault="00A85F79" w:rsidP="00426E39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426E39" w:rsidRDefault="00A85F79" w:rsidP="00426E39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C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4A1E01" w:rsidRDefault="00A85F79" w:rsidP="00426E39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4A1E01" w:rsidRDefault="00A85F79" w:rsidP="00426E39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426E39" w:rsidRDefault="00A85F79" w:rsidP="00426E39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A</w:t>
            </w: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85F79" w:rsidRPr="00E92828" w:rsidRDefault="00A85F79" w:rsidP="00426E39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KC594178</w:t>
            </w:r>
          </w:p>
        </w:tc>
      </w:tr>
      <w:tr w:rsidR="00A85F79" w:rsidRPr="00E92828" w:rsidTr="00BD0750">
        <w:trPr>
          <w:trHeight w:val="20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Iah6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A</w:t>
            </w:r>
          </w:p>
        </w:tc>
        <w:tc>
          <w:tcPr>
            <w:tcW w:w="165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85F79" w:rsidRPr="00E92828" w:rsidRDefault="00A85F79" w:rsidP="00426E39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KC594179</w:t>
            </w:r>
          </w:p>
        </w:tc>
      </w:tr>
      <w:tr w:rsidR="00A85F79" w:rsidRPr="00E92828" w:rsidTr="00BD0750">
        <w:trPr>
          <w:trHeight w:val="20"/>
        </w:trPr>
        <w:tc>
          <w:tcPr>
            <w:tcW w:w="1100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Iah7</w:t>
            </w:r>
          </w:p>
        </w:tc>
        <w:tc>
          <w:tcPr>
            <w:tcW w:w="375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75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G</w:t>
            </w:r>
          </w:p>
        </w:tc>
        <w:tc>
          <w:tcPr>
            <w:tcW w:w="375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75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75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75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1652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KC594180</w:t>
            </w:r>
          </w:p>
        </w:tc>
      </w:tr>
    </w:tbl>
    <w:p w:rsidR="00A85F79" w:rsidRDefault="00A85F79" w:rsidP="00842AC8">
      <w:pPr>
        <w:spacing w:line="240" w:lineRule="auto"/>
        <w:rPr>
          <w:rFonts w:ascii="Arial Narrow" w:hAnsi="Arial Narrow"/>
          <w:sz w:val="20"/>
          <w:szCs w:val="20"/>
        </w:rPr>
      </w:pPr>
    </w:p>
    <w:p w:rsidR="00A85F79" w:rsidRDefault="00A85F79" w:rsidP="00842AC8">
      <w:pPr>
        <w:spacing w:line="240" w:lineRule="auto"/>
        <w:rPr>
          <w:rFonts w:ascii="Arial Narrow" w:hAnsi="Arial Narrow"/>
          <w:sz w:val="20"/>
          <w:szCs w:val="20"/>
        </w:rPr>
      </w:pPr>
    </w:p>
    <w:p w:rsidR="00A85F79" w:rsidRPr="00877A59" w:rsidRDefault="00A85F79" w:rsidP="00842AC8">
      <w:pPr>
        <w:spacing w:line="240" w:lineRule="auto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:rsidR="00A85F79" w:rsidRPr="00877A59" w:rsidRDefault="00A85F79" w:rsidP="00842AC8">
      <w:pPr>
        <w:spacing w:line="240" w:lineRule="auto"/>
        <w:rPr>
          <w:rFonts w:ascii="Arial Narrow" w:hAnsi="Arial Narrow"/>
          <w:sz w:val="24"/>
          <w:szCs w:val="24"/>
        </w:rPr>
      </w:pPr>
      <w:r w:rsidRPr="00877A59">
        <w:rPr>
          <w:rFonts w:ascii="Arial Narrow" w:hAnsi="Arial Narrow"/>
          <w:b/>
          <w:sz w:val="24"/>
          <w:szCs w:val="24"/>
        </w:rPr>
        <w:t xml:space="preserve">Table S2. </w:t>
      </w:r>
      <w:r w:rsidRPr="00877A59">
        <w:rPr>
          <w:rFonts w:ascii="Arial Narrow" w:hAnsi="Arial Narrow"/>
          <w:sz w:val="24"/>
          <w:szCs w:val="24"/>
        </w:rPr>
        <w:t xml:space="preserve">Variable nucleotide positions </w:t>
      </w:r>
      <w:r>
        <w:rPr>
          <w:rFonts w:ascii="Arial Narrow" w:hAnsi="Arial Narrow"/>
          <w:sz w:val="24"/>
          <w:szCs w:val="24"/>
        </w:rPr>
        <w:t>defining 7</w:t>
      </w:r>
      <w:r w:rsidRPr="00877A59">
        <w:rPr>
          <w:rFonts w:ascii="Arial Narrow" w:hAnsi="Arial Narrow"/>
          <w:sz w:val="24"/>
          <w:szCs w:val="24"/>
        </w:rPr>
        <w:t xml:space="preserve"> haplotypes in the </w:t>
      </w:r>
      <w:r>
        <w:rPr>
          <w:rFonts w:ascii="Arial Narrow" w:hAnsi="Arial Narrow"/>
          <w:sz w:val="24"/>
          <w:szCs w:val="24"/>
        </w:rPr>
        <w:t xml:space="preserve">439 bp of 16S rDNA region with </w:t>
      </w:r>
      <w:r w:rsidRPr="00877A59">
        <w:rPr>
          <w:rFonts w:ascii="Arial Narrow" w:hAnsi="Arial Narrow"/>
          <w:sz w:val="24"/>
          <w:szCs w:val="24"/>
        </w:rPr>
        <w:t>respective GenBank accession numbers. Identical nucle</w:t>
      </w:r>
      <w:r>
        <w:rPr>
          <w:rFonts w:ascii="Arial Narrow" w:hAnsi="Arial Narrow"/>
          <w:sz w:val="24"/>
          <w:szCs w:val="24"/>
        </w:rPr>
        <w:t>otide is indicated with a dot (</w:t>
      </w:r>
      <w:r w:rsidRPr="004A1E01">
        <w:rPr>
          <w:rFonts w:ascii="Arial Narrow" w:hAnsi="Arial Narrow"/>
          <w:b/>
          <w:sz w:val="24"/>
          <w:szCs w:val="24"/>
        </w:rPr>
        <w:t>·</w:t>
      </w:r>
      <w:r w:rsidRPr="00877A59">
        <w:rPr>
          <w:rFonts w:ascii="Arial Narrow" w:hAnsi="Arial Narrow"/>
          <w:sz w:val="24"/>
          <w:szCs w:val="24"/>
        </w:rPr>
        <w:t>) and absence of nucleotide is indicated with a dash (</w:t>
      </w:r>
      <w:r>
        <w:rPr>
          <w:rFonts w:ascii="Arial Narrow" w:hAnsi="Arial Narrow" w:cs="Courier New"/>
          <w:b/>
          <w:sz w:val="20"/>
          <w:szCs w:val="20"/>
        </w:rPr>
        <w:sym w:font="Symbol" w:char="F02D"/>
      </w:r>
      <w:r w:rsidRPr="00877A59">
        <w:rPr>
          <w:rFonts w:ascii="Arial Narrow" w:hAnsi="Arial Narrow"/>
          <w:sz w:val="24"/>
          <w:szCs w:val="24"/>
        </w:rPr>
        <w:t>).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70"/>
        <w:gridCol w:w="593"/>
        <w:gridCol w:w="593"/>
        <w:gridCol w:w="593"/>
        <w:gridCol w:w="593"/>
        <w:gridCol w:w="593"/>
        <w:gridCol w:w="593"/>
        <w:gridCol w:w="593"/>
        <w:gridCol w:w="593"/>
        <w:gridCol w:w="643"/>
        <w:gridCol w:w="1612"/>
      </w:tblGrid>
      <w:tr w:rsidR="00A85F79" w:rsidRPr="00E92828" w:rsidTr="00AD2DC6">
        <w:trPr>
          <w:trHeight w:val="283"/>
        </w:trPr>
        <w:tc>
          <w:tcPr>
            <w:tcW w:w="9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5F79" w:rsidRPr="00E92828" w:rsidRDefault="00A85F79" w:rsidP="00AD2DC6">
            <w:pPr>
              <w:spacing w:after="0" w:line="240" w:lineRule="auto"/>
              <w:jc w:val="left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16S rDNA haplotype</w:t>
            </w:r>
          </w:p>
        </w:tc>
        <w:tc>
          <w:tcPr>
            <w:tcW w:w="3105" w:type="pct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5F79" w:rsidRPr="00E92828" w:rsidRDefault="00A85F79" w:rsidP="00AD2DC6">
            <w:pPr>
              <w:spacing w:after="0" w:line="240" w:lineRule="auto"/>
              <w:jc w:val="left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Variable nucleotide position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85F79" w:rsidRPr="00E92828" w:rsidRDefault="00A85F79" w:rsidP="00AD2DC6">
            <w:pPr>
              <w:spacing w:after="0" w:line="240" w:lineRule="auto"/>
              <w:ind w:left="34" w:firstLine="98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Accession number</w:t>
            </w:r>
          </w:p>
        </w:tc>
      </w:tr>
      <w:tr w:rsidR="00A85F79" w:rsidRPr="00E92828" w:rsidTr="00AD2DC6">
        <w:trPr>
          <w:trHeight w:val="283"/>
        </w:trPr>
        <w:tc>
          <w:tcPr>
            <w:tcW w:w="963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7</w:t>
            </w:r>
          </w:p>
        </w:tc>
        <w:tc>
          <w:tcPr>
            <w:tcW w:w="342" w:type="pct"/>
            <w:tcBorders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68</w:t>
            </w:r>
          </w:p>
        </w:tc>
        <w:tc>
          <w:tcPr>
            <w:tcW w:w="342" w:type="pct"/>
            <w:tcBorders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108</w:t>
            </w:r>
          </w:p>
        </w:tc>
        <w:tc>
          <w:tcPr>
            <w:tcW w:w="342" w:type="pct"/>
            <w:tcBorders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202</w:t>
            </w:r>
          </w:p>
        </w:tc>
        <w:tc>
          <w:tcPr>
            <w:tcW w:w="342" w:type="pct"/>
            <w:tcBorders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203</w:t>
            </w:r>
          </w:p>
        </w:tc>
        <w:tc>
          <w:tcPr>
            <w:tcW w:w="342" w:type="pct"/>
            <w:tcBorders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204</w:t>
            </w:r>
          </w:p>
        </w:tc>
        <w:tc>
          <w:tcPr>
            <w:tcW w:w="342" w:type="pct"/>
            <w:tcBorders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268</w:t>
            </w:r>
          </w:p>
        </w:tc>
        <w:tc>
          <w:tcPr>
            <w:tcW w:w="342" w:type="pct"/>
            <w:tcBorders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303</w:t>
            </w:r>
          </w:p>
        </w:tc>
        <w:tc>
          <w:tcPr>
            <w:tcW w:w="371" w:type="pct"/>
            <w:tcBorders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304</w:t>
            </w:r>
          </w:p>
        </w:tc>
        <w:tc>
          <w:tcPr>
            <w:tcW w:w="932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</w:tr>
      <w:tr w:rsidR="00A85F79" w:rsidRPr="00E92828" w:rsidTr="00FD1A91">
        <w:tc>
          <w:tcPr>
            <w:tcW w:w="963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4C0227">
            <w:pPr>
              <w:spacing w:after="0" w:line="240" w:lineRule="auto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Iah1</w:t>
            </w:r>
          </w:p>
        </w:tc>
        <w:tc>
          <w:tcPr>
            <w:tcW w:w="342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FD1A91" w:rsidRDefault="00A85F79" w:rsidP="00FD1A91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42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FD1A91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42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FD1A91" w:rsidRDefault="00A85F79" w:rsidP="00FD1A91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C</w:t>
            </w:r>
          </w:p>
        </w:tc>
        <w:tc>
          <w:tcPr>
            <w:tcW w:w="342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FD1A91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42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FD1A91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42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FD1A91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42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FD1A91" w:rsidRDefault="00A85F79" w:rsidP="00FD1A91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T</w:t>
            </w:r>
          </w:p>
        </w:tc>
        <w:tc>
          <w:tcPr>
            <w:tcW w:w="342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FD1A91" w:rsidRDefault="00A85F79" w:rsidP="00FD1A91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71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FD1A91" w:rsidRDefault="00A85F79" w:rsidP="00FD1A91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932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85F79" w:rsidRPr="004C0227" w:rsidRDefault="00A85F79" w:rsidP="00FD1A91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KC594167</w:t>
            </w:r>
          </w:p>
        </w:tc>
      </w:tr>
      <w:tr w:rsidR="00A85F79" w:rsidRPr="00E92828" w:rsidTr="00FD1A91"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Iah2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T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FD1A91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KC594168</w:t>
            </w:r>
          </w:p>
        </w:tc>
      </w:tr>
      <w:tr w:rsidR="00A85F79" w:rsidRPr="00E92828" w:rsidTr="00FD1A91"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Iah3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T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A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KC594169</w:t>
            </w:r>
          </w:p>
        </w:tc>
      </w:tr>
      <w:tr w:rsidR="00A85F79" w:rsidRPr="00E92828" w:rsidTr="00FD1A91"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Iah4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4C0227" w:rsidRDefault="00A85F79" w:rsidP="004C0227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T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4C0227" w:rsidRDefault="00A85F79" w:rsidP="004C0227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G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4C0227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4C0227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4C0227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4C0227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4C0227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85F79" w:rsidRPr="00E92828" w:rsidRDefault="00A85F79" w:rsidP="004C0227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KC594170</w:t>
            </w:r>
          </w:p>
        </w:tc>
      </w:tr>
      <w:tr w:rsidR="00A85F79" w:rsidRPr="00E92828" w:rsidTr="00FD1A91"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Iah5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4C0227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4C0227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4C0227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T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4C0227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4C0227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4C0227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4C0227" w:rsidRDefault="00A85F79" w:rsidP="004C0227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4C0227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4C0227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KC594171</w:t>
            </w:r>
          </w:p>
        </w:tc>
      </w:tr>
      <w:tr w:rsidR="00A85F79" w:rsidRPr="00E92828" w:rsidTr="00FD1A91"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Iah6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4C0227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4C0227" w:rsidRDefault="00A85F79" w:rsidP="004C0227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4C0227" w:rsidRDefault="00A85F79" w:rsidP="004C0227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4C0227" w:rsidRDefault="00A85F79" w:rsidP="004C0227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T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4C0227" w:rsidRDefault="00A85F79" w:rsidP="004C0227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T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4C0227" w:rsidRDefault="00A85F79" w:rsidP="004C0227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A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4C0227" w:rsidRDefault="00A85F79" w:rsidP="004C0227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4C0227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4C0227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85F79" w:rsidRPr="00E92828" w:rsidRDefault="00A85F79" w:rsidP="004C0227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KC594172</w:t>
            </w:r>
          </w:p>
        </w:tc>
      </w:tr>
      <w:tr w:rsidR="00A85F79" w:rsidRPr="00E92828" w:rsidTr="00FD1A91">
        <w:tc>
          <w:tcPr>
            <w:tcW w:w="963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Iah7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4A1E01">
              <w:rPr>
                <w:rFonts w:ascii="Arial Narrow" w:hAnsi="Arial Narrow" w:cs="Courier New"/>
                <w:b/>
                <w:sz w:val="20"/>
                <w:szCs w:val="20"/>
              </w:rPr>
              <w:t>·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C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371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5F79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b/>
                <w:sz w:val="20"/>
                <w:szCs w:val="20"/>
              </w:rPr>
            </w:pPr>
            <w:r>
              <w:rPr>
                <w:rFonts w:ascii="Arial Narrow" w:hAnsi="Arial Narrow" w:cs="Courier New"/>
                <w:b/>
                <w:sz w:val="20"/>
                <w:szCs w:val="20"/>
              </w:rPr>
              <w:sym w:font="Symbol" w:char="F02D"/>
            </w:r>
          </w:p>
        </w:tc>
        <w:tc>
          <w:tcPr>
            <w:tcW w:w="932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:rsidR="00A85F79" w:rsidRPr="00E92828" w:rsidRDefault="00A85F79" w:rsidP="00AD2DC6">
            <w:pPr>
              <w:spacing w:after="0" w:line="240" w:lineRule="auto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E92828">
              <w:rPr>
                <w:rFonts w:ascii="Arial Narrow" w:hAnsi="Arial Narrow" w:cs="Courier New"/>
                <w:sz w:val="20"/>
                <w:szCs w:val="20"/>
              </w:rPr>
              <w:t>KC594173</w:t>
            </w:r>
          </w:p>
        </w:tc>
      </w:tr>
    </w:tbl>
    <w:p w:rsidR="00A85F79" w:rsidRPr="00877A59" w:rsidRDefault="00A85F79" w:rsidP="00842AC8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A85F79" w:rsidRPr="00877A59" w:rsidRDefault="00A85F79" w:rsidP="00842AC8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A85F79" w:rsidRPr="00877A59" w:rsidRDefault="00A85F79">
      <w:pPr>
        <w:rPr>
          <w:rFonts w:ascii="Arial Narrow" w:hAnsi="Arial Narrow"/>
          <w:sz w:val="24"/>
          <w:szCs w:val="24"/>
        </w:rPr>
      </w:pPr>
      <w:r w:rsidRPr="00877A59">
        <w:rPr>
          <w:rFonts w:ascii="Arial Narrow" w:hAnsi="Arial Narrow"/>
          <w:b/>
          <w:sz w:val="24"/>
          <w:szCs w:val="24"/>
        </w:rPr>
        <w:br w:type="page"/>
      </w:r>
    </w:p>
    <w:p w:rsidR="00A85F79" w:rsidRPr="005E7248" w:rsidRDefault="00A85F79" w:rsidP="00360C55">
      <w:pPr>
        <w:rPr>
          <w:rFonts w:ascii="Arial Narrow" w:hAnsi="Arial Narrow" w:cs="Arial"/>
          <w:sz w:val="24"/>
          <w:szCs w:val="24"/>
        </w:rPr>
      </w:pPr>
      <w:r w:rsidRPr="00877A59">
        <w:rPr>
          <w:rFonts w:ascii="Arial Narrow" w:hAnsi="Arial Narrow"/>
          <w:b/>
          <w:sz w:val="24"/>
          <w:szCs w:val="24"/>
        </w:rPr>
        <w:t xml:space="preserve">Figure S1. </w:t>
      </w:r>
      <w:r w:rsidRPr="00877A59">
        <w:rPr>
          <w:rFonts w:ascii="Arial Narrow" w:hAnsi="Arial Narrow" w:cs="Arial"/>
          <w:sz w:val="24"/>
          <w:szCs w:val="24"/>
        </w:rPr>
        <w:t>Median-joining network of COI haplotypes (556 bp) detected for</w:t>
      </w:r>
      <w:r w:rsidRPr="00877A59">
        <w:rPr>
          <w:rFonts w:ascii="Arial Narrow" w:hAnsi="Arial Narrow" w:cs="Arial"/>
          <w:i/>
          <w:sz w:val="24"/>
          <w:szCs w:val="24"/>
        </w:rPr>
        <w:t xml:space="preserve"> Illex argentinus</w:t>
      </w:r>
      <w:r w:rsidRPr="00877A59">
        <w:rPr>
          <w:rFonts w:ascii="Arial Narrow" w:hAnsi="Arial Narrow" w:cs="Arial"/>
          <w:sz w:val="24"/>
          <w:szCs w:val="24"/>
        </w:rPr>
        <w:t>. The area of each circle is proportional to the number of individuals exhibiting that haplotype. Each line in the network represents one mutation</w:t>
      </w:r>
      <w:r>
        <w:rPr>
          <w:rFonts w:ascii="Arial Narrow" w:hAnsi="Arial Narrow" w:cs="Arial"/>
          <w:sz w:val="24"/>
          <w:szCs w:val="24"/>
        </w:rPr>
        <w:t>al</w:t>
      </w:r>
      <w:r w:rsidRPr="00877A59">
        <w:rPr>
          <w:rFonts w:ascii="Arial Narrow" w:hAnsi="Arial Narrow" w:cs="Arial"/>
          <w:sz w:val="24"/>
          <w:szCs w:val="24"/>
        </w:rPr>
        <w:t xml:space="preserve"> step.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5E7248">
        <w:rPr>
          <w:rFonts w:ascii="Arial Narrow" w:hAnsi="Arial Narrow" w:cs="Arial"/>
          <w:sz w:val="24"/>
          <w:szCs w:val="24"/>
        </w:rPr>
        <w:t>Summer Spawning Stock (SSS), South</w:t>
      </w:r>
      <w:r>
        <w:rPr>
          <w:rFonts w:ascii="Arial Narrow" w:hAnsi="Arial Narrow" w:cs="Arial"/>
          <w:sz w:val="24"/>
          <w:szCs w:val="24"/>
        </w:rPr>
        <w:t xml:space="preserve"> P</w:t>
      </w:r>
      <w:r w:rsidRPr="005E7248">
        <w:rPr>
          <w:rFonts w:ascii="Arial Narrow" w:hAnsi="Arial Narrow" w:cs="Arial"/>
          <w:sz w:val="24"/>
          <w:szCs w:val="24"/>
        </w:rPr>
        <w:t>atagonic Stock (SPS).</w:t>
      </w:r>
    </w:p>
    <w:p w:rsidR="00A85F79" w:rsidRPr="00877A59" w:rsidRDefault="00A85F79" w:rsidP="009E31B7">
      <w:pPr>
        <w:spacing w:line="240" w:lineRule="auto"/>
        <w:jc w:val="left"/>
        <w:rPr>
          <w:rFonts w:ascii="Arial Narrow" w:hAnsi="Arial Narrow"/>
          <w:sz w:val="24"/>
          <w:szCs w:val="24"/>
        </w:rPr>
      </w:pPr>
    </w:p>
    <w:p w:rsidR="00A85F79" w:rsidRPr="00877A59" w:rsidRDefault="00A85F79">
      <w:pPr>
        <w:rPr>
          <w:rFonts w:ascii="Arial Narrow" w:hAnsi="Arial Narrow"/>
        </w:rPr>
      </w:pPr>
      <w:r w:rsidRPr="00A612B2">
        <w:rPr>
          <w:rFonts w:ascii="Arial Narrow" w:hAnsi="Arial Narrow"/>
          <w:noProof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style="width:243pt;height:231pt;visibility:visible">
            <v:imagedata r:id="rId4" o:title="" croptop="2402f" cropbottom="1687f" cropleft="6654f" cropright="2334f"/>
          </v:shape>
        </w:pict>
      </w:r>
    </w:p>
    <w:p w:rsidR="00A85F79" w:rsidRDefault="00A85F79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A85F79" w:rsidRPr="005E7248" w:rsidRDefault="00A85F79" w:rsidP="00360C55">
      <w:pPr>
        <w:rPr>
          <w:rFonts w:ascii="Arial Narrow" w:hAnsi="Arial Narrow" w:cs="Arial"/>
          <w:sz w:val="24"/>
          <w:szCs w:val="24"/>
        </w:rPr>
      </w:pPr>
      <w:r w:rsidRPr="00877A59">
        <w:rPr>
          <w:rFonts w:ascii="Arial Narrow" w:hAnsi="Arial Narrow"/>
          <w:b/>
          <w:sz w:val="24"/>
          <w:szCs w:val="24"/>
        </w:rPr>
        <w:t xml:space="preserve">Figure S2. </w:t>
      </w:r>
      <w:r w:rsidRPr="00877A59">
        <w:rPr>
          <w:rFonts w:ascii="Arial Narrow" w:hAnsi="Arial Narrow" w:cs="Arial"/>
          <w:sz w:val="24"/>
          <w:szCs w:val="24"/>
        </w:rPr>
        <w:t xml:space="preserve">Median-joining network of 16S rDNA haplotypes (439 bp) detected for </w:t>
      </w:r>
      <w:r w:rsidRPr="00877A59">
        <w:rPr>
          <w:rFonts w:ascii="Arial Narrow" w:hAnsi="Arial Narrow" w:cs="Arial"/>
          <w:i/>
          <w:sz w:val="24"/>
          <w:szCs w:val="24"/>
        </w:rPr>
        <w:t>Illex argentinus</w:t>
      </w:r>
      <w:r w:rsidRPr="00877A59">
        <w:rPr>
          <w:rFonts w:ascii="Arial Narrow" w:hAnsi="Arial Narrow" w:cs="Arial"/>
          <w:sz w:val="24"/>
          <w:szCs w:val="24"/>
        </w:rPr>
        <w:t>. The area of each circle is proportional to the number of individuals exhibiting that haplotype. Each line in the network represents one mutation</w:t>
      </w:r>
      <w:r>
        <w:rPr>
          <w:rFonts w:ascii="Arial Narrow" w:hAnsi="Arial Narrow" w:cs="Arial"/>
          <w:sz w:val="24"/>
          <w:szCs w:val="24"/>
        </w:rPr>
        <w:t>al</w:t>
      </w:r>
      <w:r w:rsidRPr="00877A59">
        <w:rPr>
          <w:rFonts w:ascii="Arial Narrow" w:hAnsi="Arial Narrow" w:cs="Arial"/>
          <w:sz w:val="24"/>
          <w:szCs w:val="24"/>
        </w:rPr>
        <w:t xml:space="preserve"> step.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5E7248">
        <w:rPr>
          <w:rFonts w:ascii="Arial Narrow" w:hAnsi="Arial Narrow" w:cs="Arial"/>
          <w:sz w:val="24"/>
          <w:szCs w:val="24"/>
        </w:rPr>
        <w:t>Summer Spawning Stock (SSS), South</w:t>
      </w:r>
      <w:r>
        <w:rPr>
          <w:rFonts w:ascii="Arial Narrow" w:hAnsi="Arial Narrow" w:cs="Arial"/>
          <w:sz w:val="24"/>
          <w:szCs w:val="24"/>
        </w:rPr>
        <w:t xml:space="preserve"> P</w:t>
      </w:r>
      <w:r w:rsidRPr="005E7248">
        <w:rPr>
          <w:rFonts w:ascii="Arial Narrow" w:hAnsi="Arial Narrow" w:cs="Arial"/>
          <w:sz w:val="24"/>
          <w:szCs w:val="24"/>
        </w:rPr>
        <w:t>atagonic Stock (SPS).</w:t>
      </w:r>
    </w:p>
    <w:p w:rsidR="00A85F79" w:rsidRPr="00360C55" w:rsidRDefault="00A85F79" w:rsidP="00360C55">
      <w:pPr>
        <w:rPr>
          <w:rFonts w:ascii="Arial Narrow" w:hAnsi="Arial Narrow"/>
        </w:rPr>
      </w:pPr>
    </w:p>
    <w:p w:rsidR="00A85F79" w:rsidRPr="00877A59" w:rsidRDefault="00A85F79" w:rsidP="009E31B7">
      <w:pPr>
        <w:rPr>
          <w:rFonts w:ascii="Arial Narrow" w:hAnsi="Arial Narrow"/>
        </w:rPr>
      </w:pPr>
      <w:r w:rsidRPr="00A612B2">
        <w:rPr>
          <w:rFonts w:ascii="Arial Narrow" w:hAnsi="Arial Narrow"/>
          <w:noProof/>
          <w:lang w:val="es-ES" w:eastAsia="es-ES"/>
        </w:rPr>
        <w:pict>
          <v:shape id="Imagen 2" o:spid="_x0000_i1026" type="#_x0000_t75" style="width:225.75pt;height:253.5pt;visibility:visible">
            <v:imagedata r:id="rId5" o:title="" croptop="2532f" cropbottom="1200f" cropleft="3286f" cropright="4212f"/>
          </v:shape>
        </w:pict>
      </w:r>
    </w:p>
    <w:sectPr w:rsidR="00A85F79" w:rsidRPr="00877A59" w:rsidSect="006E59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78CE"/>
    <w:rsid w:val="00040CB4"/>
    <w:rsid w:val="00045901"/>
    <w:rsid w:val="00087A50"/>
    <w:rsid w:val="00091CE0"/>
    <w:rsid w:val="000C33F5"/>
    <w:rsid w:val="000E2E66"/>
    <w:rsid w:val="00110F5A"/>
    <w:rsid w:val="00122322"/>
    <w:rsid w:val="001340A9"/>
    <w:rsid w:val="00135605"/>
    <w:rsid w:val="00143D49"/>
    <w:rsid w:val="00151334"/>
    <w:rsid w:val="00160BB5"/>
    <w:rsid w:val="00192DD2"/>
    <w:rsid w:val="00195B3C"/>
    <w:rsid w:val="001B272F"/>
    <w:rsid w:val="001E0B6D"/>
    <w:rsid w:val="001F1349"/>
    <w:rsid w:val="00227298"/>
    <w:rsid w:val="0023493F"/>
    <w:rsid w:val="00234F09"/>
    <w:rsid w:val="00236FE0"/>
    <w:rsid w:val="00274206"/>
    <w:rsid w:val="00290D62"/>
    <w:rsid w:val="002C1792"/>
    <w:rsid w:val="00335C29"/>
    <w:rsid w:val="00350B19"/>
    <w:rsid w:val="00353323"/>
    <w:rsid w:val="00360C55"/>
    <w:rsid w:val="003B03D1"/>
    <w:rsid w:val="003D1AC8"/>
    <w:rsid w:val="003D65A4"/>
    <w:rsid w:val="003F0EC2"/>
    <w:rsid w:val="003F22CF"/>
    <w:rsid w:val="004035A3"/>
    <w:rsid w:val="00425EBB"/>
    <w:rsid w:val="00426E39"/>
    <w:rsid w:val="00455D69"/>
    <w:rsid w:val="00467ED0"/>
    <w:rsid w:val="004743FC"/>
    <w:rsid w:val="004817A4"/>
    <w:rsid w:val="00483680"/>
    <w:rsid w:val="004A1E01"/>
    <w:rsid w:val="004A4D1A"/>
    <w:rsid w:val="004C0227"/>
    <w:rsid w:val="004C773B"/>
    <w:rsid w:val="004E2D9D"/>
    <w:rsid w:val="004F1B0F"/>
    <w:rsid w:val="00535C73"/>
    <w:rsid w:val="0056000E"/>
    <w:rsid w:val="0056492B"/>
    <w:rsid w:val="0056703A"/>
    <w:rsid w:val="005A585B"/>
    <w:rsid w:val="005D290C"/>
    <w:rsid w:val="005E4EA9"/>
    <w:rsid w:val="005E7248"/>
    <w:rsid w:val="006078CE"/>
    <w:rsid w:val="00622543"/>
    <w:rsid w:val="0063510E"/>
    <w:rsid w:val="00635431"/>
    <w:rsid w:val="00645B6B"/>
    <w:rsid w:val="00656BA3"/>
    <w:rsid w:val="006714A2"/>
    <w:rsid w:val="006B22AD"/>
    <w:rsid w:val="006B607F"/>
    <w:rsid w:val="006C517C"/>
    <w:rsid w:val="006E592F"/>
    <w:rsid w:val="006E7C6F"/>
    <w:rsid w:val="007128A9"/>
    <w:rsid w:val="007150DB"/>
    <w:rsid w:val="0071743B"/>
    <w:rsid w:val="00755A7B"/>
    <w:rsid w:val="00775FEA"/>
    <w:rsid w:val="00782A49"/>
    <w:rsid w:val="00786F46"/>
    <w:rsid w:val="007A1982"/>
    <w:rsid w:val="007B0DD0"/>
    <w:rsid w:val="007C6917"/>
    <w:rsid w:val="007E1E92"/>
    <w:rsid w:val="00802982"/>
    <w:rsid w:val="00816B34"/>
    <w:rsid w:val="008216BC"/>
    <w:rsid w:val="00842AC8"/>
    <w:rsid w:val="00852934"/>
    <w:rsid w:val="00872BD0"/>
    <w:rsid w:val="00872C85"/>
    <w:rsid w:val="00877A59"/>
    <w:rsid w:val="0088308F"/>
    <w:rsid w:val="009007C3"/>
    <w:rsid w:val="0091545F"/>
    <w:rsid w:val="00990603"/>
    <w:rsid w:val="00995991"/>
    <w:rsid w:val="009C7A95"/>
    <w:rsid w:val="009D585A"/>
    <w:rsid w:val="009E31B7"/>
    <w:rsid w:val="009E444A"/>
    <w:rsid w:val="00A231C5"/>
    <w:rsid w:val="00A52AA4"/>
    <w:rsid w:val="00A55B49"/>
    <w:rsid w:val="00A612B2"/>
    <w:rsid w:val="00A85F79"/>
    <w:rsid w:val="00A9278F"/>
    <w:rsid w:val="00AA58D2"/>
    <w:rsid w:val="00AD2DC6"/>
    <w:rsid w:val="00B139AC"/>
    <w:rsid w:val="00B75919"/>
    <w:rsid w:val="00BB56CB"/>
    <w:rsid w:val="00BD0750"/>
    <w:rsid w:val="00BE707C"/>
    <w:rsid w:val="00C124C5"/>
    <w:rsid w:val="00C32608"/>
    <w:rsid w:val="00C8411D"/>
    <w:rsid w:val="00C85483"/>
    <w:rsid w:val="00CC4D49"/>
    <w:rsid w:val="00CC6EA9"/>
    <w:rsid w:val="00CC7904"/>
    <w:rsid w:val="00D0083D"/>
    <w:rsid w:val="00D11BAA"/>
    <w:rsid w:val="00D3490D"/>
    <w:rsid w:val="00D43B2D"/>
    <w:rsid w:val="00D449AA"/>
    <w:rsid w:val="00D65530"/>
    <w:rsid w:val="00D6748A"/>
    <w:rsid w:val="00D76198"/>
    <w:rsid w:val="00D8545A"/>
    <w:rsid w:val="00DB0584"/>
    <w:rsid w:val="00DC2E23"/>
    <w:rsid w:val="00DF2244"/>
    <w:rsid w:val="00E04EF8"/>
    <w:rsid w:val="00E40FEA"/>
    <w:rsid w:val="00E4615B"/>
    <w:rsid w:val="00E60ADF"/>
    <w:rsid w:val="00E64993"/>
    <w:rsid w:val="00E73116"/>
    <w:rsid w:val="00E870FB"/>
    <w:rsid w:val="00E92828"/>
    <w:rsid w:val="00E93045"/>
    <w:rsid w:val="00EA11EE"/>
    <w:rsid w:val="00EA778D"/>
    <w:rsid w:val="00EB5F21"/>
    <w:rsid w:val="00EC6B99"/>
    <w:rsid w:val="00ED0354"/>
    <w:rsid w:val="00ED114A"/>
    <w:rsid w:val="00ED420F"/>
    <w:rsid w:val="00F413FE"/>
    <w:rsid w:val="00F56C53"/>
    <w:rsid w:val="00FD1A91"/>
    <w:rsid w:val="00FE0EDE"/>
    <w:rsid w:val="00FF0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92F"/>
    <w:pPr>
      <w:spacing w:after="120" w:line="360" w:lineRule="auto"/>
      <w:jc w:val="both"/>
    </w:pPr>
    <w:rPr>
      <w:lang w:val="en-GB" w:eastAsia="ko-K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0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78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9E31B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E31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E31B7"/>
    <w:rPr>
      <w:rFonts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E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E31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3</Pages>
  <Words>288</Words>
  <Characters>1585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Marina</cp:lastModifiedBy>
  <cp:revision>20</cp:revision>
  <dcterms:created xsi:type="dcterms:W3CDTF">2013-12-02T14:44:00Z</dcterms:created>
  <dcterms:modified xsi:type="dcterms:W3CDTF">2014-07-15T13:57:00Z</dcterms:modified>
</cp:coreProperties>
</file>