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B8E" w:rsidRDefault="00FF3B8E" w:rsidP="00FF3B8E">
      <w:pPr>
        <w:pStyle w:val="01-MainHeading"/>
        <w:jc w:val="center"/>
        <w:rPr>
          <w:sz w:val="36"/>
          <w:szCs w:val="24"/>
        </w:rPr>
      </w:pPr>
      <w:r w:rsidRPr="00FF3B8E">
        <w:rPr>
          <w:sz w:val="36"/>
          <w:szCs w:val="24"/>
        </w:rPr>
        <w:t>Supplementary material</w:t>
      </w:r>
    </w:p>
    <w:p w:rsidR="00BA42BC" w:rsidRPr="00BA42BC" w:rsidRDefault="00BA42BC" w:rsidP="00BA42BC">
      <w:pPr>
        <w:pStyle w:val="01-MainHeading"/>
        <w:jc w:val="center"/>
        <w:rPr>
          <w:sz w:val="44"/>
          <w:szCs w:val="24"/>
        </w:rPr>
      </w:pPr>
    </w:p>
    <w:p w:rsidR="00FF3B8E" w:rsidRPr="00BA42BC" w:rsidRDefault="00FF3B8E" w:rsidP="00BA42BC">
      <w:pPr>
        <w:pStyle w:val="01-MainHeading"/>
        <w:jc w:val="center"/>
        <w:rPr>
          <w:bCs/>
          <w:sz w:val="36"/>
          <w:szCs w:val="28"/>
          <w:rtl/>
          <w:lang w:bidi="fa-IR"/>
        </w:rPr>
      </w:pPr>
      <w:r w:rsidRPr="00BA42BC">
        <w:rPr>
          <w:i/>
          <w:sz w:val="40"/>
          <w:szCs w:val="24"/>
        </w:rPr>
        <w:t>In silico</w:t>
      </w:r>
      <w:r w:rsidRPr="00BA42BC">
        <w:rPr>
          <w:sz w:val="40"/>
          <w:szCs w:val="24"/>
        </w:rPr>
        <w:t xml:space="preserve"> receptor-based drug design of X,Y-benzenesulfonamide derivatives as selective COX-2 inhibitors</w:t>
      </w:r>
    </w:p>
    <w:p w:rsidR="00F92C2B" w:rsidRPr="005C439C" w:rsidRDefault="00F92C2B" w:rsidP="00F92C2B">
      <w:pPr>
        <w:pStyle w:val="Sinespaciado"/>
        <w:rPr>
          <w:rFonts w:ascii="Times New Roman" w:hAnsi="Times New Roman"/>
          <w:sz w:val="24"/>
          <w:szCs w:val="24"/>
        </w:rPr>
      </w:pPr>
      <w:r w:rsidRPr="005C439C">
        <w:rPr>
          <w:rFonts w:ascii="Times New Roman" w:hAnsi="Times New Roman"/>
          <w:sz w:val="24"/>
          <w:szCs w:val="24"/>
        </w:rPr>
        <w:t>David J. Pérez</w:t>
      </w:r>
      <w:r w:rsidRPr="005C439C">
        <w:rPr>
          <w:rFonts w:ascii="Times New Roman" w:hAnsi="Times New Roman"/>
          <w:sz w:val="24"/>
          <w:szCs w:val="24"/>
          <w:vertAlign w:val="superscript"/>
        </w:rPr>
        <w:t>a</w:t>
      </w:r>
      <w:r w:rsidRPr="005C439C">
        <w:rPr>
          <w:rFonts w:ascii="Times New Roman" w:hAnsi="Times New Roman"/>
          <w:sz w:val="24"/>
          <w:szCs w:val="24"/>
        </w:rPr>
        <w:t>, Orlando Sarabia</w:t>
      </w:r>
      <w:r w:rsidRPr="005C439C">
        <w:rPr>
          <w:rFonts w:ascii="Times New Roman" w:hAnsi="Times New Roman"/>
          <w:sz w:val="24"/>
          <w:szCs w:val="24"/>
          <w:vertAlign w:val="superscript"/>
        </w:rPr>
        <w:t>a</w:t>
      </w:r>
      <w:r w:rsidRPr="005C439C">
        <w:rPr>
          <w:rFonts w:ascii="Times New Roman" w:hAnsi="Times New Roman"/>
          <w:sz w:val="24"/>
          <w:szCs w:val="24"/>
        </w:rPr>
        <w:t>, Manuel Villanueva-García</w:t>
      </w:r>
      <w:r w:rsidRPr="005C439C">
        <w:rPr>
          <w:rFonts w:ascii="Times New Roman" w:hAnsi="Times New Roman"/>
          <w:sz w:val="24"/>
          <w:szCs w:val="24"/>
          <w:vertAlign w:val="superscript"/>
        </w:rPr>
        <w:t>b</w:t>
      </w:r>
      <w:r w:rsidRPr="005C439C">
        <w:rPr>
          <w:rFonts w:ascii="Times New Roman" w:hAnsi="Times New Roman"/>
          <w:sz w:val="24"/>
          <w:szCs w:val="24"/>
        </w:rPr>
        <w:t>, Kayim Pineda-Urbina</w:t>
      </w:r>
      <w:r w:rsidRPr="005C439C">
        <w:rPr>
          <w:rFonts w:ascii="Times New Roman" w:hAnsi="Times New Roman"/>
          <w:sz w:val="24"/>
          <w:szCs w:val="24"/>
          <w:vertAlign w:val="superscript"/>
        </w:rPr>
        <w:t>a</w:t>
      </w:r>
      <w:r w:rsidRPr="005C439C">
        <w:rPr>
          <w:rFonts w:ascii="Times New Roman" w:hAnsi="Times New Roman"/>
          <w:sz w:val="24"/>
          <w:szCs w:val="24"/>
        </w:rPr>
        <w:t>, Ángel Ramos-Organillo</w:t>
      </w:r>
      <w:r w:rsidRPr="005C439C">
        <w:rPr>
          <w:rFonts w:ascii="Times New Roman" w:hAnsi="Times New Roman"/>
          <w:sz w:val="24"/>
          <w:szCs w:val="24"/>
          <w:vertAlign w:val="superscript"/>
        </w:rPr>
        <w:t>a</w:t>
      </w:r>
      <w:r w:rsidRPr="005C439C">
        <w:rPr>
          <w:rFonts w:ascii="Times New Roman" w:hAnsi="Times New Roman"/>
          <w:sz w:val="24"/>
          <w:szCs w:val="24"/>
        </w:rPr>
        <w:t>, Jorge Gonzalez-Gonzalez</w:t>
      </w:r>
      <w:r w:rsidRPr="005C439C">
        <w:rPr>
          <w:rFonts w:ascii="Times New Roman" w:hAnsi="Times New Roman"/>
          <w:sz w:val="24"/>
          <w:szCs w:val="24"/>
          <w:vertAlign w:val="superscript"/>
        </w:rPr>
        <w:t>a</w:t>
      </w:r>
      <w:r w:rsidRPr="005C439C">
        <w:rPr>
          <w:rFonts w:ascii="Times New Roman" w:hAnsi="Times New Roman"/>
          <w:sz w:val="24"/>
          <w:szCs w:val="24"/>
        </w:rPr>
        <w:t>, Zeferino Gómez-Sandoval</w:t>
      </w:r>
      <w:r>
        <w:rPr>
          <w:rFonts w:ascii="Times New Roman" w:hAnsi="Times New Roman"/>
          <w:sz w:val="24"/>
          <w:szCs w:val="24"/>
        </w:rPr>
        <w:t>*</w:t>
      </w:r>
      <w:r w:rsidRPr="005C439C">
        <w:rPr>
          <w:rFonts w:ascii="Times New Roman" w:hAnsi="Times New Roman"/>
          <w:sz w:val="24"/>
          <w:szCs w:val="24"/>
          <w:vertAlign w:val="superscript"/>
        </w:rPr>
        <w:t>a</w:t>
      </w:r>
      <w:r w:rsidRPr="005C439C">
        <w:rPr>
          <w:rFonts w:ascii="Times New Roman" w:hAnsi="Times New Roman"/>
          <w:sz w:val="24"/>
          <w:szCs w:val="24"/>
        </w:rPr>
        <w:t xml:space="preserve"> and Rodrigo Said Razo-Hernández</w:t>
      </w:r>
      <w:r>
        <w:rPr>
          <w:rFonts w:ascii="Times New Roman" w:hAnsi="Times New Roman"/>
          <w:sz w:val="24"/>
          <w:szCs w:val="24"/>
        </w:rPr>
        <w:t>*</w:t>
      </w:r>
      <w:r w:rsidRPr="005C439C">
        <w:rPr>
          <w:rFonts w:ascii="Times New Roman" w:hAnsi="Times New Roman"/>
          <w:sz w:val="24"/>
          <w:szCs w:val="24"/>
          <w:vertAlign w:val="superscript"/>
        </w:rPr>
        <w:t>a,c</w:t>
      </w:r>
    </w:p>
    <w:p w:rsidR="00FF3B8E" w:rsidRPr="0003425A" w:rsidRDefault="00FF3B8E" w:rsidP="00FF3B8E">
      <w:pPr>
        <w:pStyle w:val="03-Address"/>
        <w:rPr>
          <w:i w:val="0"/>
          <w:vertAlign w:val="superscript"/>
          <w:lang w:val="es-MX"/>
        </w:rPr>
      </w:pPr>
    </w:p>
    <w:p w:rsidR="00FF3B8E" w:rsidRPr="0003425A" w:rsidRDefault="00FF3B8E" w:rsidP="00FF3B8E">
      <w:pPr>
        <w:pStyle w:val="03-Address"/>
        <w:rPr>
          <w:i w:val="0"/>
          <w:lang w:val="es-MX"/>
        </w:rPr>
      </w:pPr>
      <w:r w:rsidRPr="0003425A">
        <w:rPr>
          <w:i w:val="0"/>
          <w:vertAlign w:val="superscript"/>
          <w:lang w:val="es-MX"/>
        </w:rPr>
        <w:t xml:space="preserve">a </w:t>
      </w:r>
      <w:r w:rsidRPr="0003425A">
        <w:rPr>
          <w:i w:val="0"/>
          <w:lang w:val="es-MX"/>
        </w:rPr>
        <w:t>Facultad de Ciencias Químicas, Universidad de Colima, kilómetro 9 carretera Colima-Coquimatlán, Col., México, C.P. 28400, M</w:t>
      </w:r>
      <w:r w:rsidR="00AB13EF">
        <w:rPr>
          <w:i w:val="0"/>
          <w:lang w:val="es-MX"/>
        </w:rPr>
        <w:t>é</w:t>
      </w:r>
      <w:r w:rsidRPr="0003425A">
        <w:rPr>
          <w:i w:val="0"/>
          <w:lang w:val="es-MX"/>
        </w:rPr>
        <w:t xml:space="preserve">xico. </w:t>
      </w:r>
    </w:p>
    <w:p w:rsidR="00FF3B8E" w:rsidRPr="0003425A" w:rsidRDefault="00FF3B8E" w:rsidP="00FF3B8E">
      <w:pPr>
        <w:pStyle w:val="03-Address"/>
        <w:rPr>
          <w:i w:val="0"/>
          <w:szCs w:val="24"/>
          <w:lang w:val="es-MX"/>
        </w:rPr>
      </w:pPr>
      <w:r w:rsidRPr="0003425A">
        <w:rPr>
          <w:i w:val="0"/>
          <w:vertAlign w:val="superscript"/>
          <w:lang w:val="es-MX"/>
        </w:rPr>
        <w:t xml:space="preserve">b </w:t>
      </w:r>
      <w:r w:rsidRPr="0003425A">
        <w:rPr>
          <w:i w:val="0"/>
          <w:szCs w:val="24"/>
          <w:lang w:val="es-MX"/>
        </w:rPr>
        <w:t>Asociación de Jubilados de la Universidad de Guanajuato, Paseo de la Presa No 77, Guanajuato, Gto., México, C.P. 36000, M</w:t>
      </w:r>
      <w:r w:rsidR="00AB13EF">
        <w:rPr>
          <w:i w:val="0"/>
          <w:szCs w:val="24"/>
          <w:lang w:val="es-MX"/>
        </w:rPr>
        <w:t>é</w:t>
      </w:r>
      <w:r w:rsidRPr="0003425A">
        <w:rPr>
          <w:i w:val="0"/>
          <w:szCs w:val="24"/>
          <w:lang w:val="es-MX"/>
        </w:rPr>
        <w:t>xico</w:t>
      </w:r>
    </w:p>
    <w:p w:rsidR="00FF3B8E" w:rsidRPr="0003425A" w:rsidRDefault="00AB13EF" w:rsidP="00FF3B8E">
      <w:pPr>
        <w:pStyle w:val="03-Address"/>
        <w:rPr>
          <w:i w:val="0"/>
          <w:lang w:val="es-MX"/>
        </w:rPr>
      </w:pPr>
      <w:r w:rsidRPr="005C439C">
        <w:rPr>
          <w:i w:val="0"/>
          <w:vertAlign w:val="superscript"/>
        </w:rPr>
        <w:t xml:space="preserve">c </w:t>
      </w:r>
      <w:r w:rsidRPr="005C439C">
        <w:rPr>
          <w:i w:val="0"/>
        </w:rPr>
        <w:t>Laboratorio de Dinámica de Proteínas y Ácido Nucleicos, Centro de Investigación Dinámica Celular, Instituto de Investigación en Ciencias Básicas y Aplicadas, Universidad Autónoma del Estado de Morelos, Cuernavaca,</w:t>
      </w:r>
      <w:r>
        <w:rPr>
          <w:i w:val="0"/>
        </w:rPr>
        <w:t xml:space="preserve"> C.P. 62209,</w:t>
      </w:r>
      <w:r w:rsidRPr="005C439C">
        <w:rPr>
          <w:i w:val="0"/>
        </w:rPr>
        <w:t> México.</w:t>
      </w:r>
    </w:p>
    <w:p w:rsidR="00262AC4" w:rsidRPr="0003425A" w:rsidRDefault="00550ED0">
      <w:pPr>
        <w:rPr>
          <w:lang w:val="es-MX"/>
        </w:rPr>
      </w:pPr>
    </w:p>
    <w:p w:rsidR="00FF3B8E" w:rsidRPr="00FF3B8E" w:rsidRDefault="00FF3B8E" w:rsidP="00FF3B8E">
      <w:pPr>
        <w:jc w:val="center"/>
        <w:rPr>
          <w:rFonts w:ascii="Times New Roman" w:hAnsi="Times New Roman" w:cs="Times New Roman"/>
          <w:sz w:val="24"/>
        </w:rPr>
      </w:pPr>
      <w:r w:rsidRPr="00FF3B8E">
        <w:rPr>
          <w:rFonts w:ascii="Times New Roman" w:hAnsi="Times New Roman" w:cs="Times New Roman"/>
          <w:sz w:val="24"/>
        </w:rPr>
        <w:t>Table S1. Descriptors' correlation matrix.</w:t>
      </w:r>
    </w:p>
    <w:tbl>
      <w:tblPr>
        <w:tblW w:w="7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  <w:gridCol w:w="1200"/>
      </w:tblGrid>
      <w:tr w:rsidR="00FF3B8E" w:rsidRPr="004C0916" w:rsidTr="00BC6050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lang w:eastAsia="es-MX"/>
                  </w:rPr>
                  <m:t>ALOGP</m:t>
                </m:r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550ED0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lang w:eastAsia="es-MX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lang w:eastAsia="es-MX"/>
                      </w:rPr>
                      <m:t>ALOGP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lang w:eastAsia="es-MX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lang w:eastAsia="es-MX"/>
                  </w:rPr>
                  <m:t>MVol</m:t>
                </m:r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lang w:eastAsia="es-MX"/>
                  </w:rPr>
                  <m:t>Dipole</m:t>
                </m:r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lang w:eastAsia="es-MX"/>
                  </w:rPr>
                  <m:t>HBD</m:t>
                </m:r>
              </m:oMath>
            </m:oMathPara>
          </w:p>
        </w:tc>
      </w:tr>
      <w:tr w:rsidR="00FF3B8E" w:rsidRPr="004C0916" w:rsidTr="00BC6050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lang w:eastAsia="es-MX"/>
                </w:rPr>
                <m:t>ALOGP</m:t>
              </m:r>
            </m:oMath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 xml:space="preserve"> </w:t>
            </w:r>
            <w:r>
              <w:rPr>
                <w:rFonts w:ascii="Cambria Math" w:eastAsia="Times New Roman" w:hAnsi="Cambria Math" w:cs="Times New Roman"/>
                <w:color w:val="000000"/>
                <w:sz w:val="28"/>
                <w:lang w:eastAsia="es-MX"/>
              </w:rPr>
              <w:br/>
            </w: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lang w:eastAsia="es-MX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lang w:eastAsia="es-MX"/>
                      </w:rPr>
                      <m:t>ALOGP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lang w:eastAsia="es-MX"/>
                      </w:rPr>
                      <m:t>2</m:t>
                    </m:r>
                  </m:sup>
                </m:sSup>
              </m:oMath>
            </m:oMathPara>
          </w:p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lang w:eastAsia="es-MX"/>
                  </w:rPr>
                  <m:t>MVol</m:t>
                </m:r>
              </m:oMath>
            </m:oMathPara>
          </w:p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lang w:eastAsia="es-MX"/>
                </w:rPr>
                <m:t>Dipole</m:t>
              </m:r>
            </m:oMath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lang w:eastAsia="es-MX"/>
                </w:rPr>
                <m:t>HBD</m:t>
              </m:r>
            </m:oMath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0.978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0.002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0.157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0.131</w:t>
            </w:r>
          </w:p>
        </w:tc>
      </w:tr>
      <w:tr w:rsidR="00FF3B8E" w:rsidRPr="004C0916" w:rsidTr="00BC6050">
        <w:trPr>
          <w:trHeight w:val="300"/>
          <w:jc w:val="center"/>
        </w:trPr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0.978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0.088</w:t>
            </w:r>
          </w:p>
        </w:tc>
      </w:tr>
      <w:tr w:rsidR="00FF3B8E" w:rsidRPr="004C0916" w:rsidTr="00BC6050">
        <w:trPr>
          <w:trHeight w:val="300"/>
          <w:jc w:val="center"/>
        </w:trPr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0.033</w:t>
            </w:r>
          </w:p>
        </w:tc>
      </w:tr>
      <w:tr w:rsidR="00FF3B8E" w:rsidRPr="004C0916" w:rsidTr="00BC6050">
        <w:trPr>
          <w:trHeight w:val="300"/>
          <w:jc w:val="center"/>
        </w:trPr>
        <w:tc>
          <w:tcPr>
            <w:tcW w:w="12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0.157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0.035</w:t>
            </w:r>
          </w:p>
        </w:tc>
      </w:tr>
      <w:tr w:rsidR="00FF3B8E" w:rsidRPr="004C0916" w:rsidTr="00BC6050">
        <w:trPr>
          <w:trHeight w:val="300"/>
          <w:jc w:val="center"/>
        </w:trPr>
        <w:tc>
          <w:tcPr>
            <w:tcW w:w="120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0.131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  <w:r w:rsidRPr="004C0916"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  <w:t>0.035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3B8E" w:rsidRPr="004C0916" w:rsidRDefault="00FF3B8E" w:rsidP="00BC6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es-MX"/>
              </w:rPr>
            </w:pPr>
          </w:p>
        </w:tc>
      </w:tr>
    </w:tbl>
    <w:p w:rsidR="00FF3B8E" w:rsidRPr="004C0916" w:rsidRDefault="00FF3B8E" w:rsidP="00FF3B8E">
      <w:pPr>
        <w:rPr>
          <w:rFonts w:ascii="Times New Roman" w:hAnsi="Times New Roman" w:cs="Times New Roman"/>
          <w:sz w:val="24"/>
        </w:rPr>
      </w:pPr>
    </w:p>
    <w:p w:rsidR="00FF3B8E" w:rsidRDefault="003F4BB1">
      <w:r w:rsidRPr="003F4BB1">
        <w:rPr>
          <w:noProof/>
          <w:lang w:val="es-MX" w:eastAsia="es-MX"/>
        </w:rPr>
        <w:lastRenderedPageBreak/>
        <w:drawing>
          <wp:inline distT="0" distB="0" distL="0" distR="0">
            <wp:extent cx="5610225" cy="3381481"/>
            <wp:effectExtent l="0" t="0" r="0" b="9525"/>
            <wp:docPr id="5" name="Imagen 5" descr="C:\Users\david\Desktop\Doctorado\Proyecto de Tesis\Examen Predoctoral\Celecoxib COX-2 v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Doctorado\Proyecto de Tesis\Examen Predoctoral\Celecoxib COX-2 va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" b="1532"/>
                    <a:stretch/>
                  </pic:blipFill>
                  <pic:spPr bwMode="auto">
                    <a:xfrm>
                      <a:off x="0" y="0"/>
                      <a:ext cx="5612130" cy="338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DD2" w:rsidRDefault="003F4BB1" w:rsidP="00BA42B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S1.</w:t>
      </w:r>
      <w:r w:rsidR="00F92C2B" w:rsidRPr="00F92C2B">
        <w:rPr>
          <w:szCs w:val="24"/>
        </w:rPr>
        <w:t xml:space="preserve"> </w:t>
      </w:r>
      <w:r w:rsidR="00F92C2B" w:rsidRPr="00F92C2B">
        <w:rPr>
          <w:rFonts w:ascii="Times New Roman" w:hAnsi="Times New Roman" w:cs="Times New Roman"/>
          <w:sz w:val="24"/>
          <w:szCs w:val="24"/>
        </w:rPr>
        <w:t>Validation of the molecular docking calculation</w:t>
      </w:r>
      <w:r w:rsidR="00BA42BC">
        <w:rPr>
          <w:rFonts w:ascii="Times New Roman" w:hAnsi="Times New Roman" w:cs="Times New Roman"/>
          <w:sz w:val="24"/>
          <w:szCs w:val="24"/>
        </w:rPr>
        <w:t xml:space="preserve"> in COX-2</w:t>
      </w:r>
      <w:r w:rsidR="00F92C2B" w:rsidRPr="00F92C2B">
        <w:rPr>
          <w:rFonts w:ascii="Times New Roman" w:hAnsi="Times New Roman" w:cs="Times New Roman"/>
          <w:sz w:val="24"/>
          <w:szCs w:val="24"/>
        </w:rPr>
        <w:t>. The e</w:t>
      </w:r>
      <w:r w:rsidR="00F92C2B">
        <w:rPr>
          <w:rFonts w:ascii="Times New Roman" w:hAnsi="Times New Roman" w:cs="Times New Roman"/>
          <w:sz w:val="24"/>
          <w:szCs w:val="24"/>
        </w:rPr>
        <w:t xml:space="preserve">xperimental binding mode of celecoxib </w:t>
      </w:r>
      <w:r w:rsidR="00F92C2B" w:rsidRPr="00F92C2B">
        <w:rPr>
          <w:rFonts w:ascii="Times New Roman" w:hAnsi="Times New Roman" w:cs="Times New Roman"/>
          <w:sz w:val="24"/>
          <w:szCs w:val="24"/>
        </w:rPr>
        <w:t xml:space="preserve">was reproduced with a Root Media Square Deviation (RMSD) of </w:t>
      </w:r>
      <w:r w:rsidR="00BA42BC">
        <w:rPr>
          <w:rFonts w:ascii="Times New Roman" w:hAnsi="Times New Roman" w:cs="Times New Roman"/>
          <w:sz w:val="24"/>
          <w:szCs w:val="24"/>
        </w:rPr>
        <w:t>0.52</w:t>
      </w:r>
      <w:r w:rsidR="00F92C2B" w:rsidRPr="00F92C2B">
        <w:rPr>
          <w:rFonts w:ascii="Times New Roman" w:hAnsi="Times New Roman" w:cs="Times New Roman"/>
          <w:sz w:val="24"/>
          <w:szCs w:val="24"/>
        </w:rPr>
        <w:t>.</w:t>
      </w:r>
      <w:r w:rsidR="008B567C">
        <w:rPr>
          <w:rFonts w:ascii="Times New Roman" w:hAnsi="Times New Roman" w:cs="Times New Roman"/>
          <w:sz w:val="24"/>
          <w:szCs w:val="24"/>
        </w:rPr>
        <w:t xml:space="preserve"> Legend: e</w:t>
      </w:r>
      <w:r w:rsidR="00F92C2B" w:rsidRPr="00F92C2B">
        <w:rPr>
          <w:rFonts w:ascii="Times New Roman" w:hAnsi="Times New Roman" w:cs="Times New Roman"/>
          <w:sz w:val="24"/>
          <w:szCs w:val="24"/>
        </w:rPr>
        <w:t xml:space="preserve">xperimental binding mode is presented </w:t>
      </w:r>
      <w:r w:rsidR="00F92C2B">
        <w:rPr>
          <w:rFonts w:ascii="Times New Roman" w:hAnsi="Times New Roman" w:cs="Times New Roman"/>
          <w:sz w:val="24"/>
          <w:szCs w:val="24"/>
        </w:rPr>
        <w:t>as red</w:t>
      </w:r>
      <w:r w:rsidR="00F92C2B" w:rsidRPr="00F92C2B">
        <w:rPr>
          <w:rFonts w:ascii="Times New Roman" w:hAnsi="Times New Roman" w:cs="Times New Roman"/>
          <w:sz w:val="24"/>
          <w:szCs w:val="24"/>
        </w:rPr>
        <w:t xml:space="preserve"> colored and the calcula</w:t>
      </w:r>
      <w:r w:rsidR="00F92C2B">
        <w:rPr>
          <w:rFonts w:ascii="Times New Roman" w:hAnsi="Times New Roman" w:cs="Times New Roman"/>
          <w:sz w:val="24"/>
          <w:szCs w:val="24"/>
        </w:rPr>
        <w:t>ted pose in red</w:t>
      </w:r>
      <w:r w:rsidR="00F92C2B" w:rsidRPr="00F92C2B">
        <w:rPr>
          <w:rFonts w:ascii="Times New Roman" w:hAnsi="Times New Roman" w:cs="Times New Roman"/>
          <w:sz w:val="24"/>
          <w:szCs w:val="24"/>
        </w:rPr>
        <w:t>. The blue dashed lines are the calculated hydrogen bonds which corresponded well with those observed in experimental binding.</w:t>
      </w:r>
    </w:p>
    <w:p w:rsidR="00E06DD2" w:rsidRDefault="00E06DD2">
      <w:pPr>
        <w:rPr>
          <w:rFonts w:ascii="Times New Roman" w:hAnsi="Times New Roman" w:cs="Times New Roman"/>
          <w:sz w:val="24"/>
        </w:rPr>
      </w:pPr>
      <w:r w:rsidRPr="00E06DD2">
        <w:rPr>
          <w:rFonts w:ascii="Times New Roman" w:hAnsi="Times New Roman" w:cs="Times New Roman"/>
          <w:noProof/>
          <w:sz w:val="24"/>
          <w:lang w:val="es-MX" w:eastAsia="es-MX"/>
        </w:rPr>
        <w:drawing>
          <wp:inline distT="0" distB="0" distL="0" distR="0">
            <wp:extent cx="5609832" cy="3027296"/>
            <wp:effectExtent l="0" t="0" r="0" b="1905"/>
            <wp:docPr id="1" name="Imagen 1" descr="C:\Users\david\Desktop\Doctorado\Proyecto de Tesis\Examen Predoctoral\Celecoxib COX-1 v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Doctorado\Proyecto de Tesis\Examen Predoctoral\Celecoxib COX-1 va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1" b="5986"/>
                    <a:stretch/>
                  </pic:blipFill>
                  <pic:spPr bwMode="auto">
                    <a:xfrm>
                      <a:off x="0" y="0"/>
                      <a:ext cx="5612130" cy="30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B1" w:rsidRDefault="00E06DD2" w:rsidP="00BA42BC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S2.</w:t>
      </w:r>
      <w:r w:rsidR="003F4BB1">
        <w:rPr>
          <w:rFonts w:ascii="Times New Roman" w:hAnsi="Times New Roman" w:cs="Times New Roman"/>
          <w:sz w:val="24"/>
        </w:rPr>
        <w:t xml:space="preserve"> </w:t>
      </w:r>
      <w:r w:rsidR="00BA42BC" w:rsidRPr="00F92C2B">
        <w:rPr>
          <w:rFonts w:ascii="Times New Roman" w:hAnsi="Times New Roman" w:cs="Times New Roman"/>
          <w:sz w:val="24"/>
          <w:szCs w:val="24"/>
        </w:rPr>
        <w:t>Validation of the molecular docking calculation</w:t>
      </w:r>
      <w:r w:rsidR="00BA42BC">
        <w:rPr>
          <w:rFonts w:ascii="Times New Roman" w:hAnsi="Times New Roman" w:cs="Times New Roman"/>
          <w:sz w:val="24"/>
          <w:szCs w:val="24"/>
        </w:rPr>
        <w:t xml:space="preserve"> in COX-1</w:t>
      </w:r>
      <w:r w:rsidR="00BA42BC" w:rsidRPr="00F92C2B">
        <w:rPr>
          <w:rFonts w:ascii="Times New Roman" w:hAnsi="Times New Roman" w:cs="Times New Roman"/>
          <w:sz w:val="24"/>
          <w:szCs w:val="24"/>
        </w:rPr>
        <w:t>. The e</w:t>
      </w:r>
      <w:r w:rsidR="00BA42BC">
        <w:rPr>
          <w:rFonts w:ascii="Times New Roman" w:hAnsi="Times New Roman" w:cs="Times New Roman"/>
          <w:sz w:val="24"/>
          <w:szCs w:val="24"/>
        </w:rPr>
        <w:t xml:space="preserve">xperimental binding mode of celecoxib </w:t>
      </w:r>
      <w:r w:rsidR="00BA42BC" w:rsidRPr="00F92C2B">
        <w:rPr>
          <w:rFonts w:ascii="Times New Roman" w:hAnsi="Times New Roman" w:cs="Times New Roman"/>
          <w:sz w:val="24"/>
          <w:szCs w:val="24"/>
        </w:rPr>
        <w:t xml:space="preserve">was reproduced with a Root Media Square Deviation (RMSD) of </w:t>
      </w:r>
      <w:r w:rsidR="00BA42BC">
        <w:rPr>
          <w:rFonts w:ascii="Times New Roman" w:hAnsi="Times New Roman" w:cs="Times New Roman"/>
          <w:sz w:val="24"/>
          <w:szCs w:val="24"/>
        </w:rPr>
        <w:t>076</w:t>
      </w:r>
      <w:r w:rsidR="00BA42BC" w:rsidRPr="00F92C2B">
        <w:rPr>
          <w:rFonts w:ascii="Times New Roman" w:hAnsi="Times New Roman" w:cs="Times New Roman"/>
          <w:sz w:val="24"/>
          <w:szCs w:val="24"/>
        </w:rPr>
        <w:t xml:space="preserve">. </w:t>
      </w:r>
      <w:r w:rsidR="00BA42BC">
        <w:rPr>
          <w:rFonts w:ascii="Times New Roman" w:hAnsi="Times New Roman" w:cs="Times New Roman"/>
          <w:sz w:val="24"/>
          <w:szCs w:val="24"/>
        </w:rPr>
        <w:t>Legend is the same as Figure S1.</w:t>
      </w:r>
    </w:p>
    <w:p w:rsidR="0027669F" w:rsidRPr="00CF1DBC" w:rsidRDefault="00276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Table S2. </w:t>
      </w:r>
      <w:r w:rsidR="00AB13EF">
        <w:rPr>
          <w:rFonts w:ascii="Times New Roman" w:hAnsi="Times New Roman" w:cs="Times New Roman"/>
          <w:sz w:val="24"/>
          <w:szCs w:val="24"/>
        </w:rPr>
        <w:t>Interactions</w:t>
      </w:r>
      <w:r w:rsidR="00CF1DBC" w:rsidRPr="00CF1DBC">
        <w:rPr>
          <w:rFonts w:ascii="Times New Roman" w:hAnsi="Times New Roman" w:cs="Times New Roman"/>
          <w:sz w:val="24"/>
          <w:szCs w:val="24"/>
        </w:rPr>
        <w:t xml:space="preserve"> en</w:t>
      </w:r>
      <w:r w:rsidR="00CF1DBC">
        <w:rPr>
          <w:rFonts w:ascii="Times New Roman" w:hAnsi="Times New Roman" w:cs="Times New Roman"/>
          <w:sz w:val="24"/>
          <w:szCs w:val="24"/>
        </w:rPr>
        <w:t>ergie</w:t>
      </w:r>
      <w:r w:rsidR="00AB13EF">
        <w:rPr>
          <w:rFonts w:ascii="Times New Roman" w:hAnsi="Times New Roman" w:cs="Times New Roman"/>
          <w:sz w:val="24"/>
          <w:szCs w:val="24"/>
        </w:rPr>
        <w:t>s</w:t>
      </w:r>
      <w:r w:rsidR="00CF1DBC" w:rsidRPr="00CF1DBC">
        <w:rPr>
          <w:rFonts w:ascii="Times New Roman" w:hAnsi="Times New Roman" w:cs="Times New Roman"/>
          <w:sz w:val="24"/>
          <w:szCs w:val="24"/>
        </w:rPr>
        <w:t xml:space="preserve"> (kcal/mol) of</w:t>
      </w:r>
      <w:r w:rsidR="00CF1DBC">
        <w:rPr>
          <w:rFonts w:ascii="Times New Roman" w:hAnsi="Times New Roman" w:cs="Times New Roman"/>
          <w:sz w:val="24"/>
          <w:szCs w:val="24"/>
        </w:rPr>
        <w:t xml:space="preserve"> </w:t>
      </w:r>
      <w:r w:rsidR="00CF1DBC" w:rsidRPr="00CF1DBC">
        <w:rPr>
          <w:rFonts w:ascii="Times New Roman" w:hAnsi="Times New Roman" w:cs="Times New Roman"/>
          <w:i/>
          <w:sz w:val="24"/>
          <w:szCs w:val="24"/>
        </w:rPr>
        <w:t>proposed inhibitor</w:t>
      </w:r>
      <w:r w:rsidR="00CF1DBC">
        <w:rPr>
          <w:rFonts w:ascii="Times New Roman" w:hAnsi="Times New Roman" w:cs="Times New Roman"/>
          <w:sz w:val="24"/>
          <w:szCs w:val="24"/>
        </w:rPr>
        <w:t xml:space="preserve"> </w:t>
      </w:r>
      <w:r w:rsidR="00CF1DBC" w:rsidRPr="00CF1DBC">
        <w:rPr>
          <w:rFonts w:ascii="Times New Roman" w:hAnsi="Times New Roman" w:cs="Times New Roman"/>
          <w:b/>
          <w:sz w:val="24"/>
          <w:szCs w:val="24"/>
        </w:rPr>
        <w:t>52</w:t>
      </w:r>
      <w:r w:rsidR="00CF1DBC">
        <w:rPr>
          <w:rFonts w:ascii="Times New Roman" w:hAnsi="Times New Roman" w:cs="Times New Roman"/>
          <w:sz w:val="24"/>
          <w:szCs w:val="24"/>
        </w:rPr>
        <w:t xml:space="preserve"> </w:t>
      </w:r>
      <w:r w:rsidR="00CF1DBC" w:rsidRPr="00CF1DBC">
        <w:rPr>
          <w:rFonts w:ascii="Times New Roman" w:hAnsi="Times New Roman" w:cs="Times New Roman"/>
          <w:sz w:val="24"/>
          <w:szCs w:val="24"/>
        </w:rPr>
        <w:t>with COX-1 residues.</w:t>
      </w:r>
    </w:p>
    <w:tbl>
      <w:tblPr>
        <w:tblStyle w:val="Tablanormal211"/>
        <w:tblW w:w="2023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851"/>
      </w:tblGrid>
      <w:tr w:rsidR="0027669F" w:rsidRPr="00A82ABF" w:rsidTr="00276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single" w:sz="4" w:space="0" w:color="auto"/>
              <w:bottom w:val="single" w:sz="4" w:space="0" w:color="auto"/>
            </w:tcBorders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Residues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7669F" w:rsidRPr="00A82ABF" w:rsidRDefault="0027669F" w:rsidP="00FE12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27669F" w:rsidRPr="00A82ABF" w:rsidTr="0027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single" w:sz="4" w:space="0" w:color="auto"/>
              <w:bottom w:val="none" w:sz="0" w:space="0" w:color="auto"/>
            </w:tcBorders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Ala527</w:t>
            </w:r>
          </w:p>
        </w:tc>
        <w:tc>
          <w:tcPr>
            <w:tcW w:w="851" w:type="dxa"/>
            <w:tcBorders>
              <w:top w:val="single" w:sz="4" w:space="0" w:color="auto"/>
              <w:bottom w:val="none" w:sz="0" w:space="0" w:color="auto"/>
            </w:tcBorders>
          </w:tcPr>
          <w:p w:rsidR="0027669F" w:rsidRPr="00A82ABF" w:rsidRDefault="00F92C2B" w:rsidP="00FE12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3425A">
              <w:rPr>
                <w:rFonts w:ascii="Times New Roman" w:hAnsi="Times New Roman" w:cs="Times New Roman"/>
                <w:sz w:val="24"/>
                <w:szCs w:val="24"/>
              </w:rPr>
              <w:t>12.91</w:t>
            </w:r>
          </w:p>
        </w:tc>
      </w:tr>
      <w:tr w:rsidR="0027669F" w:rsidRPr="00A82ABF" w:rsidTr="002766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Arg120</w:t>
            </w:r>
          </w:p>
        </w:tc>
        <w:tc>
          <w:tcPr>
            <w:tcW w:w="851" w:type="dxa"/>
          </w:tcPr>
          <w:p w:rsidR="0027669F" w:rsidRPr="00A82ABF" w:rsidRDefault="0003425A" w:rsidP="00FE12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7669F" w:rsidRPr="00A82ABF" w:rsidTr="0027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</w:tcBorders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Arg513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:rsidR="0027669F" w:rsidRPr="00A82ABF" w:rsidRDefault="0003425A" w:rsidP="00FE12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-4.23</w:t>
            </w:r>
          </w:p>
        </w:tc>
      </w:tr>
      <w:tr w:rsidR="0027669F" w:rsidRPr="00A82ABF" w:rsidTr="002766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Glu524</w:t>
            </w:r>
          </w:p>
        </w:tc>
        <w:tc>
          <w:tcPr>
            <w:tcW w:w="851" w:type="dxa"/>
          </w:tcPr>
          <w:p w:rsidR="0027669F" w:rsidRPr="00A82ABF" w:rsidRDefault="0003425A" w:rsidP="00FE12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7669F" w:rsidRPr="00A82ABF" w:rsidTr="0027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</w:tcBorders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His90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:rsidR="0027669F" w:rsidRPr="00A82ABF" w:rsidRDefault="0003425A" w:rsidP="00FE12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-6.57</w:t>
            </w:r>
          </w:p>
        </w:tc>
      </w:tr>
      <w:tr w:rsidR="0027669F" w:rsidRPr="00A82ABF" w:rsidTr="002766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Leu531</w:t>
            </w:r>
          </w:p>
        </w:tc>
        <w:tc>
          <w:tcPr>
            <w:tcW w:w="851" w:type="dxa"/>
          </w:tcPr>
          <w:p w:rsidR="0027669F" w:rsidRPr="00A82ABF" w:rsidRDefault="0003425A" w:rsidP="00FE12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-0.63</w:t>
            </w:r>
          </w:p>
        </w:tc>
      </w:tr>
      <w:tr w:rsidR="0027669F" w:rsidRPr="00A82ABF" w:rsidTr="0027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</w:tcBorders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Ser530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:rsidR="0027669F" w:rsidRPr="00A82ABF" w:rsidRDefault="0003425A" w:rsidP="00FE12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-6.95</w:t>
            </w:r>
          </w:p>
        </w:tc>
      </w:tr>
      <w:tr w:rsidR="0027669F" w:rsidRPr="00A82ABF" w:rsidTr="002766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Tyr355</w:t>
            </w:r>
          </w:p>
        </w:tc>
        <w:tc>
          <w:tcPr>
            <w:tcW w:w="851" w:type="dxa"/>
          </w:tcPr>
          <w:p w:rsidR="0027669F" w:rsidRPr="00A82ABF" w:rsidRDefault="0003425A" w:rsidP="00FE12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-5.51</w:t>
            </w:r>
          </w:p>
        </w:tc>
      </w:tr>
      <w:tr w:rsidR="0027669F" w:rsidRPr="00A82ABF" w:rsidTr="0027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</w:tcBorders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Val349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:rsidR="0027669F" w:rsidRPr="00A82ABF" w:rsidRDefault="0003425A" w:rsidP="00FE12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-12.61</w:t>
            </w:r>
          </w:p>
        </w:tc>
      </w:tr>
      <w:tr w:rsidR="0027669F" w:rsidRPr="00A82ABF" w:rsidTr="002766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tcBorders>
              <w:bottom w:val="single" w:sz="4" w:space="0" w:color="auto"/>
            </w:tcBorders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sz w:val="24"/>
                <w:szCs w:val="24"/>
              </w:rPr>
              <w:t>Val523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669F" w:rsidRPr="00A82ABF" w:rsidRDefault="0003425A" w:rsidP="00FE12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-10.96</w:t>
            </w:r>
          </w:p>
        </w:tc>
      </w:tr>
    </w:tbl>
    <w:p w:rsidR="0027669F" w:rsidRPr="00A82ABF" w:rsidRDefault="0027669F" w:rsidP="002766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69F" w:rsidRDefault="002766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Table S3</w:t>
      </w:r>
      <w:r w:rsidR="00CF1DBC">
        <w:rPr>
          <w:rFonts w:ascii="Times New Roman" w:hAnsi="Times New Roman" w:cs="Times New Roman"/>
          <w:sz w:val="24"/>
        </w:rPr>
        <w:t xml:space="preserve">. </w:t>
      </w:r>
      <w:r w:rsidR="00CF1DBC" w:rsidRPr="00CF1DBC">
        <w:rPr>
          <w:rFonts w:ascii="Times New Roman" w:hAnsi="Times New Roman" w:cs="Times New Roman"/>
          <w:sz w:val="24"/>
          <w:szCs w:val="24"/>
        </w:rPr>
        <w:t>Interactions en</w:t>
      </w:r>
      <w:r w:rsidR="00CF1DBC">
        <w:rPr>
          <w:rFonts w:ascii="Times New Roman" w:hAnsi="Times New Roman" w:cs="Times New Roman"/>
          <w:sz w:val="24"/>
          <w:szCs w:val="24"/>
        </w:rPr>
        <w:t>ergie</w:t>
      </w:r>
      <w:r w:rsidR="00AB13EF">
        <w:rPr>
          <w:rFonts w:ascii="Times New Roman" w:hAnsi="Times New Roman" w:cs="Times New Roman"/>
          <w:sz w:val="24"/>
          <w:szCs w:val="24"/>
        </w:rPr>
        <w:t>s</w:t>
      </w:r>
      <w:bookmarkStart w:id="0" w:name="_GoBack"/>
      <w:bookmarkEnd w:id="0"/>
      <w:r w:rsidR="00CF1DBC" w:rsidRPr="00CF1DBC">
        <w:rPr>
          <w:rFonts w:ascii="Times New Roman" w:hAnsi="Times New Roman" w:cs="Times New Roman"/>
          <w:sz w:val="24"/>
          <w:szCs w:val="24"/>
        </w:rPr>
        <w:t xml:space="preserve"> (kcal/mol) of</w:t>
      </w:r>
      <w:r w:rsidR="00CF1DBC">
        <w:rPr>
          <w:rFonts w:ascii="Times New Roman" w:hAnsi="Times New Roman" w:cs="Times New Roman"/>
          <w:sz w:val="24"/>
          <w:szCs w:val="24"/>
        </w:rPr>
        <w:t xml:space="preserve"> </w:t>
      </w:r>
      <w:r w:rsidR="00CF1DBC" w:rsidRPr="00CF1DBC">
        <w:rPr>
          <w:rFonts w:ascii="Times New Roman" w:hAnsi="Times New Roman" w:cs="Times New Roman"/>
          <w:i/>
          <w:sz w:val="24"/>
          <w:szCs w:val="24"/>
        </w:rPr>
        <w:t>proposed inhibitor</w:t>
      </w:r>
      <w:r w:rsidR="00CF1DBC">
        <w:rPr>
          <w:rFonts w:ascii="Times New Roman" w:hAnsi="Times New Roman" w:cs="Times New Roman"/>
          <w:sz w:val="24"/>
          <w:szCs w:val="24"/>
        </w:rPr>
        <w:t xml:space="preserve"> </w:t>
      </w:r>
      <w:r w:rsidR="00CF1DBC" w:rsidRPr="00CF1DBC">
        <w:rPr>
          <w:rFonts w:ascii="Times New Roman" w:hAnsi="Times New Roman" w:cs="Times New Roman"/>
          <w:b/>
          <w:sz w:val="24"/>
          <w:szCs w:val="24"/>
        </w:rPr>
        <w:t>52</w:t>
      </w:r>
      <w:r w:rsidR="00CF1DBC">
        <w:rPr>
          <w:rFonts w:ascii="Times New Roman" w:hAnsi="Times New Roman" w:cs="Times New Roman"/>
          <w:sz w:val="24"/>
          <w:szCs w:val="24"/>
        </w:rPr>
        <w:t xml:space="preserve"> </w:t>
      </w:r>
      <w:r w:rsidR="00CF1DBC" w:rsidRPr="00CF1DBC">
        <w:rPr>
          <w:rFonts w:ascii="Times New Roman" w:hAnsi="Times New Roman" w:cs="Times New Roman"/>
          <w:sz w:val="24"/>
          <w:szCs w:val="24"/>
        </w:rPr>
        <w:t>with COX-</w:t>
      </w:r>
      <w:r w:rsidR="00CF1DBC">
        <w:rPr>
          <w:rFonts w:ascii="Times New Roman" w:hAnsi="Times New Roman" w:cs="Times New Roman"/>
          <w:sz w:val="24"/>
          <w:szCs w:val="24"/>
        </w:rPr>
        <w:t>2</w:t>
      </w:r>
      <w:r w:rsidR="00CF1DBC" w:rsidRPr="00CF1DBC">
        <w:rPr>
          <w:rFonts w:ascii="Times New Roman" w:hAnsi="Times New Roman" w:cs="Times New Roman"/>
          <w:sz w:val="24"/>
          <w:szCs w:val="24"/>
        </w:rPr>
        <w:t xml:space="preserve"> residues.</w:t>
      </w:r>
    </w:p>
    <w:tbl>
      <w:tblPr>
        <w:tblStyle w:val="Sombreadoclaro3"/>
        <w:tblW w:w="2023" w:type="dxa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851"/>
      </w:tblGrid>
      <w:tr w:rsidR="0027669F" w:rsidRPr="00A82ABF" w:rsidTr="00276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Residues</w:t>
            </w:r>
          </w:p>
        </w:tc>
        <w:tc>
          <w:tcPr>
            <w:tcW w:w="851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27669F" w:rsidRPr="00A82ABF" w:rsidTr="0027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Ala527</w:t>
            </w:r>
          </w:p>
        </w:tc>
        <w:tc>
          <w:tcPr>
            <w:tcW w:w="851" w:type="dxa"/>
            <w:shd w:val="clear" w:color="auto" w:fill="auto"/>
          </w:tcPr>
          <w:p w:rsidR="0027669F" w:rsidRPr="00A82ABF" w:rsidRDefault="003A2570" w:rsidP="00FE12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-14.76</w:t>
            </w:r>
          </w:p>
        </w:tc>
      </w:tr>
      <w:tr w:rsidR="0027669F" w:rsidRPr="00A82ABF" w:rsidTr="002766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Arg120</w:t>
            </w:r>
          </w:p>
        </w:tc>
        <w:tc>
          <w:tcPr>
            <w:tcW w:w="851" w:type="dxa"/>
            <w:shd w:val="clear" w:color="auto" w:fill="auto"/>
          </w:tcPr>
          <w:p w:rsidR="0027669F" w:rsidRPr="00A82ABF" w:rsidRDefault="003A2570" w:rsidP="00FE12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-0.51</w:t>
            </w:r>
          </w:p>
        </w:tc>
      </w:tr>
      <w:tr w:rsidR="0027669F" w:rsidRPr="00A82ABF" w:rsidTr="0027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Glu524</w:t>
            </w:r>
          </w:p>
        </w:tc>
        <w:tc>
          <w:tcPr>
            <w:tcW w:w="851" w:type="dxa"/>
            <w:shd w:val="clear" w:color="auto" w:fill="auto"/>
          </w:tcPr>
          <w:p w:rsidR="0027669F" w:rsidRPr="00A82ABF" w:rsidRDefault="003A2570" w:rsidP="00FE12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7669F" w:rsidRPr="00A82ABF" w:rsidTr="002766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Ile523</w:t>
            </w:r>
          </w:p>
        </w:tc>
        <w:tc>
          <w:tcPr>
            <w:tcW w:w="851" w:type="dxa"/>
            <w:shd w:val="clear" w:color="auto" w:fill="auto"/>
          </w:tcPr>
          <w:p w:rsidR="0027669F" w:rsidRPr="00A82ABF" w:rsidRDefault="003A2570" w:rsidP="00FE12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-15.36</w:t>
            </w:r>
          </w:p>
        </w:tc>
      </w:tr>
      <w:tr w:rsidR="0027669F" w:rsidRPr="00A82ABF" w:rsidTr="0027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Leu531</w:t>
            </w:r>
          </w:p>
        </w:tc>
        <w:tc>
          <w:tcPr>
            <w:tcW w:w="851" w:type="dxa"/>
            <w:shd w:val="clear" w:color="auto" w:fill="auto"/>
          </w:tcPr>
          <w:p w:rsidR="0027669F" w:rsidRPr="00A82ABF" w:rsidRDefault="00746FF5" w:rsidP="00FE12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-0.50</w:t>
            </w:r>
          </w:p>
        </w:tc>
      </w:tr>
      <w:tr w:rsidR="0027669F" w:rsidRPr="00A82ABF" w:rsidTr="002766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Ser530</w:t>
            </w:r>
          </w:p>
        </w:tc>
        <w:tc>
          <w:tcPr>
            <w:tcW w:w="851" w:type="dxa"/>
            <w:shd w:val="clear" w:color="auto" w:fill="auto"/>
          </w:tcPr>
          <w:p w:rsidR="0027669F" w:rsidRPr="00A82ABF" w:rsidRDefault="00746FF5" w:rsidP="00FE12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-5.97</w:t>
            </w:r>
          </w:p>
        </w:tc>
      </w:tr>
      <w:tr w:rsidR="0027669F" w:rsidRPr="00A82ABF" w:rsidTr="00276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Tyr355</w:t>
            </w:r>
          </w:p>
        </w:tc>
        <w:tc>
          <w:tcPr>
            <w:tcW w:w="851" w:type="dxa"/>
            <w:shd w:val="clear" w:color="auto" w:fill="auto"/>
          </w:tcPr>
          <w:p w:rsidR="0027669F" w:rsidRPr="00A82ABF" w:rsidRDefault="00746FF5" w:rsidP="00FE12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-7.31</w:t>
            </w:r>
          </w:p>
        </w:tc>
      </w:tr>
      <w:tr w:rsidR="0027669F" w:rsidRPr="00A82ABF" w:rsidTr="002766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2" w:type="dxa"/>
            <w:shd w:val="clear" w:color="auto" w:fill="auto"/>
          </w:tcPr>
          <w:p w:rsidR="0027669F" w:rsidRPr="00A82ABF" w:rsidRDefault="0027669F" w:rsidP="00FE1238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82AB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Val349</w:t>
            </w:r>
          </w:p>
        </w:tc>
        <w:tc>
          <w:tcPr>
            <w:tcW w:w="851" w:type="dxa"/>
            <w:shd w:val="clear" w:color="auto" w:fill="auto"/>
          </w:tcPr>
          <w:p w:rsidR="0027669F" w:rsidRPr="00A82ABF" w:rsidRDefault="00746FF5" w:rsidP="00FE12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-7.33</w:t>
            </w:r>
          </w:p>
        </w:tc>
      </w:tr>
    </w:tbl>
    <w:p w:rsidR="0027669F" w:rsidRDefault="0027669F">
      <w:pPr>
        <w:rPr>
          <w:rFonts w:ascii="Times New Roman" w:hAnsi="Times New Roman" w:cs="Times New Roman"/>
          <w:sz w:val="24"/>
        </w:rPr>
      </w:pPr>
    </w:p>
    <w:p w:rsidR="00F92C2B" w:rsidRDefault="00F92C2B">
      <w:pPr>
        <w:rPr>
          <w:rFonts w:ascii="Times New Roman" w:hAnsi="Times New Roman" w:cs="Times New Roman"/>
          <w:sz w:val="24"/>
        </w:rPr>
      </w:pPr>
    </w:p>
    <w:p w:rsidR="00F92C2B" w:rsidRDefault="00F92C2B">
      <w:pPr>
        <w:rPr>
          <w:rFonts w:ascii="Times New Roman" w:hAnsi="Times New Roman" w:cs="Times New Roman"/>
          <w:sz w:val="24"/>
        </w:rPr>
      </w:pPr>
    </w:p>
    <w:p w:rsidR="00F92C2B" w:rsidRDefault="00F92C2B">
      <w:pPr>
        <w:rPr>
          <w:rFonts w:ascii="Times New Roman" w:hAnsi="Times New Roman" w:cs="Times New Roman"/>
          <w:sz w:val="24"/>
        </w:rPr>
      </w:pPr>
    </w:p>
    <w:p w:rsidR="00F92C2B" w:rsidRDefault="00F92C2B">
      <w:pPr>
        <w:rPr>
          <w:rFonts w:ascii="Times New Roman" w:hAnsi="Times New Roman" w:cs="Times New Roman"/>
          <w:sz w:val="24"/>
        </w:rPr>
      </w:pPr>
    </w:p>
    <w:p w:rsidR="00F92C2B" w:rsidRDefault="00F92C2B">
      <w:pPr>
        <w:rPr>
          <w:rFonts w:ascii="Times New Roman" w:hAnsi="Times New Roman" w:cs="Times New Roman"/>
          <w:sz w:val="24"/>
        </w:rPr>
      </w:pPr>
    </w:p>
    <w:p w:rsidR="00F92C2B" w:rsidRDefault="00F92C2B">
      <w:pPr>
        <w:rPr>
          <w:rFonts w:ascii="Times New Roman" w:hAnsi="Times New Roman" w:cs="Times New Roman"/>
          <w:sz w:val="24"/>
        </w:rPr>
      </w:pPr>
    </w:p>
    <w:p w:rsidR="00F92C2B" w:rsidRDefault="00CF1DBC">
      <w:pPr>
        <w:rPr>
          <w:rFonts w:ascii="Times New Roman" w:hAnsi="Times New Roman" w:cs="Times New Roman"/>
          <w:sz w:val="24"/>
        </w:rPr>
      </w:pPr>
      <w:r w:rsidRPr="00CF1DBC">
        <w:rPr>
          <w:rFonts w:ascii="Times New Roman" w:hAnsi="Times New Roman" w:cs="Times New Roman"/>
          <w:noProof/>
          <w:sz w:val="24"/>
          <w:lang w:val="es-MX" w:eastAsia="es-MX"/>
        </w:rPr>
        <w:lastRenderedPageBreak/>
        <w:drawing>
          <wp:inline distT="0" distB="0" distL="0" distR="0">
            <wp:extent cx="5612130" cy="3577500"/>
            <wp:effectExtent l="0" t="0" r="7620" b="4445"/>
            <wp:docPr id="4" name="Imagen 4" descr="C:\Users\david\Desktop\Doctorado\Proyecto de Tesis\Examen Predoctoral\52 into COX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Desktop\Doctorado\Proyecto de Tesis\Examen Predoctoral\52 into COX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2B" w:rsidRDefault="00CF1D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Figure S3. </w:t>
      </w:r>
      <w:r w:rsidRPr="00CF1DBC">
        <w:rPr>
          <w:rFonts w:ascii="Times New Roman" w:hAnsi="Times New Roman" w:cs="Times New Roman"/>
          <w:sz w:val="24"/>
          <w:szCs w:val="24"/>
        </w:rPr>
        <w:t>Binding mo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CF1DBC">
        <w:rPr>
          <w:rFonts w:ascii="Times New Roman" w:hAnsi="Times New Roman" w:cs="Times New Roman"/>
          <w:sz w:val="24"/>
          <w:szCs w:val="24"/>
        </w:rPr>
        <w:t xml:space="preserve"> of </w:t>
      </w:r>
      <w:r w:rsidRPr="00CF1DBC">
        <w:rPr>
          <w:rFonts w:ascii="Times New Roman" w:hAnsi="Times New Roman" w:cs="Times New Roman"/>
          <w:b/>
          <w:sz w:val="24"/>
          <w:szCs w:val="24"/>
        </w:rPr>
        <w:t>52</w:t>
      </w:r>
      <w:r w:rsidRPr="00CF1DBC">
        <w:rPr>
          <w:rFonts w:ascii="Times New Roman" w:hAnsi="Times New Roman" w:cs="Times New Roman"/>
          <w:sz w:val="24"/>
          <w:szCs w:val="24"/>
        </w:rPr>
        <w:t xml:space="preserve"> into COX-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F1DBC">
        <w:rPr>
          <w:rFonts w:ascii="Times New Roman" w:hAnsi="Times New Roman" w:cs="Times New Roman"/>
          <w:sz w:val="24"/>
          <w:szCs w:val="24"/>
        </w:rPr>
        <w:t xml:space="preserve">. Hydrogen bonds are depicted as blue dashed lines. </w:t>
      </w:r>
      <w:r w:rsidR="008B567C">
        <w:rPr>
          <w:rFonts w:ascii="Times New Roman" w:hAnsi="Times New Roman" w:cs="Times New Roman"/>
          <w:sz w:val="24"/>
          <w:szCs w:val="24"/>
        </w:rPr>
        <w:t>Legend: r</w:t>
      </w:r>
      <w:r w:rsidRPr="00CF1DBC">
        <w:rPr>
          <w:rFonts w:ascii="Times New Roman" w:hAnsi="Times New Roman" w:cs="Times New Roman"/>
          <w:sz w:val="24"/>
          <w:szCs w:val="24"/>
        </w:rPr>
        <w:t>esidues are colored according to their hydropathy index value; red represent hydrophilic residues, blue hydrophobic and purple amphiphilic.</w:t>
      </w:r>
    </w:p>
    <w:p w:rsidR="00F92C2B" w:rsidRDefault="00F92C2B">
      <w:pPr>
        <w:rPr>
          <w:rFonts w:ascii="Times New Roman" w:hAnsi="Times New Roman" w:cs="Times New Roman"/>
          <w:sz w:val="24"/>
        </w:rPr>
      </w:pPr>
      <w:r w:rsidRPr="00F92C2B">
        <w:rPr>
          <w:rFonts w:ascii="Times New Roman" w:hAnsi="Times New Roman" w:cs="Times New Roman"/>
          <w:noProof/>
          <w:sz w:val="24"/>
          <w:lang w:val="es-MX" w:eastAsia="es-MX"/>
        </w:rPr>
        <w:drawing>
          <wp:inline distT="0" distB="0" distL="0" distR="0">
            <wp:extent cx="5610281" cy="3364302"/>
            <wp:effectExtent l="0" t="0" r="0" b="7620"/>
            <wp:docPr id="3" name="Imagen 3" descr="C:\Users\david\Desktop\Doctorado\Proyecto de Tesis\Examen Predoctoral\52 into COX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Doctorado\Proyecto de Tesis\Examen Predoctoral\52 into COX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8"/>
                    <a:stretch/>
                  </pic:blipFill>
                  <pic:spPr bwMode="auto">
                    <a:xfrm>
                      <a:off x="0" y="0"/>
                      <a:ext cx="5612130" cy="33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DBC" w:rsidRPr="00CF1DBC" w:rsidRDefault="00CF1DBC" w:rsidP="00CF1D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Figure S4. </w:t>
      </w:r>
      <w:r w:rsidRPr="00CF1DBC">
        <w:rPr>
          <w:rFonts w:ascii="Times New Roman" w:hAnsi="Times New Roman" w:cs="Times New Roman"/>
          <w:sz w:val="24"/>
          <w:szCs w:val="24"/>
        </w:rPr>
        <w:t>Binding mo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CF1DBC">
        <w:rPr>
          <w:rFonts w:ascii="Times New Roman" w:hAnsi="Times New Roman" w:cs="Times New Roman"/>
          <w:sz w:val="24"/>
          <w:szCs w:val="24"/>
        </w:rPr>
        <w:t xml:space="preserve"> of </w:t>
      </w:r>
      <w:r w:rsidRPr="00CF1DBC">
        <w:rPr>
          <w:rFonts w:ascii="Times New Roman" w:hAnsi="Times New Roman" w:cs="Times New Roman"/>
          <w:b/>
          <w:sz w:val="24"/>
          <w:szCs w:val="24"/>
        </w:rPr>
        <w:t>52</w:t>
      </w:r>
      <w:r w:rsidRPr="00CF1DBC">
        <w:rPr>
          <w:rFonts w:ascii="Times New Roman" w:hAnsi="Times New Roman" w:cs="Times New Roman"/>
          <w:sz w:val="24"/>
          <w:szCs w:val="24"/>
        </w:rPr>
        <w:t xml:space="preserve"> into COX-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F1DBC">
        <w:rPr>
          <w:rFonts w:ascii="Times New Roman" w:hAnsi="Times New Roman" w:cs="Times New Roman"/>
          <w:sz w:val="24"/>
          <w:szCs w:val="24"/>
        </w:rPr>
        <w:t xml:space="preserve">. Hydrogen bonds are depicted as blue dashed lines. </w:t>
      </w:r>
      <w:r>
        <w:rPr>
          <w:rFonts w:ascii="Times New Roman" w:hAnsi="Times New Roman" w:cs="Times New Roman"/>
          <w:sz w:val="24"/>
          <w:szCs w:val="24"/>
        </w:rPr>
        <w:t xml:space="preserve">Legend is the same </w:t>
      </w:r>
      <w:r w:rsidR="008B567C">
        <w:rPr>
          <w:rFonts w:ascii="Times New Roman" w:hAnsi="Times New Roman" w:cs="Times New Roman"/>
          <w:sz w:val="24"/>
          <w:szCs w:val="24"/>
        </w:rPr>
        <w:t xml:space="preserve">as Figure S3. </w:t>
      </w:r>
    </w:p>
    <w:sectPr w:rsidR="00CF1DBC" w:rsidRPr="00CF1D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ED0" w:rsidRDefault="00550ED0" w:rsidP="00F92C2B">
      <w:pPr>
        <w:spacing w:after="0" w:line="240" w:lineRule="auto"/>
      </w:pPr>
      <w:r>
        <w:separator/>
      </w:r>
    </w:p>
  </w:endnote>
  <w:endnote w:type="continuationSeparator" w:id="0">
    <w:p w:rsidR="00550ED0" w:rsidRDefault="00550ED0" w:rsidP="00F92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ED0" w:rsidRDefault="00550ED0" w:rsidP="00F92C2B">
      <w:pPr>
        <w:spacing w:after="0" w:line="240" w:lineRule="auto"/>
      </w:pPr>
      <w:r>
        <w:separator/>
      </w:r>
    </w:p>
  </w:footnote>
  <w:footnote w:type="continuationSeparator" w:id="0">
    <w:p w:rsidR="00550ED0" w:rsidRDefault="00550ED0" w:rsidP="00F92C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B8E"/>
    <w:rsid w:val="0001720A"/>
    <w:rsid w:val="0003425A"/>
    <w:rsid w:val="00042DB2"/>
    <w:rsid w:val="001345D2"/>
    <w:rsid w:val="0027669F"/>
    <w:rsid w:val="003A2570"/>
    <w:rsid w:val="003F4BB1"/>
    <w:rsid w:val="00550ED0"/>
    <w:rsid w:val="006D5A66"/>
    <w:rsid w:val="00746FF5"/>
    <w:rsid w:val="00764644"/>
    <w:rsid w:val="00784F78"/>
    <w:rsid w:val="007A299E"/>
    <w:rsid w:val="008B567C"/>
    <w:rsid w:val="00AB13EF"/>
    <w:rsid w:val="00BA42BC"/>
    <w:rsid w:val="00C20498"/>
    <w:rsid w:val="00CF1DBC"/>
    <w:rsid w:val="00DD0C72"/>
    <w:rsid w:val="00E06DD2"/>
    <w:rsid w:val="00F92C2B"/>
    <w:rsid w:val="00FF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C3CBE2-13DA-4D5D-8DFF-A5F3D183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1-MainHeading">
    <w:name w:val="01-Main Heading"/>
    <w:basedOn w:val="Normal"/>
    <w:rsid w:val="00FF3B8E"/>
    <w:pPr>
      <w:spacing w:after="200" w:line="216" w:lineRule="auto"/>
      <w:jc w:val="both"/>
    </w:pPr>
    <w:rPr>
      <w:rFonts w:ascii="Times New Roman" w:eastAsia="Times" w:hAnsi="Times New Roman" w:cs="Times New Roman"/>
      <w:b/>
      <w:sz w:val="32"/>
      <w:szCs w:val="20"/>
      <w:lang w:eastAsia="zh-CN"/>
    </w:rPr>
  </w:style>
  <w:style w:type="paragraph" w:customStyle="1" w:styleId="03-Address">
    <w:name w:val="03-Address"/>
    <w:basedOn w:val="Normal"/>
    <w:rsid w:val="00FF3B8E"/>
    <w:pPr>
      <w:spacing w:after="240" w:line="240" w:lineRule="auto"/>
      <w:ind w:right="567"/>
      <w:jc w:val="both"/>
    </w:pPr>
    <w:rPr>
      <w:rFonts w:ascii="Times New Roman" w:eastAsia="Times" w:hAnsi="Times New Roman" w:cs="Times New Roman"/>
      <w:i/>
      <w:sz w:val="20"/>
      <w:szCs w:val="20"/>
      <w:lang w:eastAsia="zh-CN"/>
    </w:rPr>
  </w:style>
  <w:style w:type="paragraph" w:styleId="Sinespaciado">
    <w:name w:val="No Spacing"/>
    <w:qFormat/>
    <w:rsid w:val="00FF3B8E"/>
    <w:pPr>
      <w:spacing w:after="0" w:line="240" w:lineRule="auto"/>
    </w:pPr>
    <w:rPr>
      <w:rFonts w:ascii="Calibri" w:eastAsia="MS Mincho" w:hAnsi="Calibri" w:cs="Times New Roman"/>
      <w:lang w:val="it-IT"/>
    </w:rPr>
  </w:style>
  <w:style w:type="table" w:customStyle="1" w:styleId="Tablanormal211">
    <w:name w:val="Tabla normal 211"/>
    <w:basedOn w:val="Tablanormal"/>
    <w:uiPriority w:val="42"/>
    <w:rsid w:val="0027669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ombreadoclaro3">
    <w:name w:val="Sombreado claro3"/>
    <w:basedOn w:val="Tablanormal"/>
    <w:uiPriority w:val="60"/>
    <w:rsid w:val="0027669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3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25A"/>
    <w:rPr>
      <w:rFonts w:ascii="Tahoma" w:hAnsi="Tahoma" w:cs="Tahoma"/>
      <w:sz w:val="16"/>
      <w:szCs w:val="16"/>
      <w:lang w:val="en-US"/>
    </w:rPr>
  </w:style>
  <w:style w:type="character" w:styleId="Hipervnculo">
    <w:name w:val="Hyperlink"/>
    <w:unhideWhenUsed/>
    <w:rsid w:val="00F92C2B"/>
    <w:rPr>
      <w:color w:val="0000FF"/>
      <w:u w:val="single"/>
    </w:rPr>
  </w:style>
  <w:style w:type="character" w:styleId="Refdenotaalpie">
    <w:name w:val="footnote reference"/>
    <w:semiHidden/>
    <w:rsid w:val="00F92C2B"/>
    <w:rPr>
      <w:vertAlign w:val="superscript"/>
    </w:rPr>
  </w:style>
  <w:style w:type="paragraph" w:styleId="Textonotapie">
    <w:name w:val="footnote text"/>
    <w:basedOn w:val="Normal"/>
    <w:link w:val="TextonotapieCar"/>
    <w:rsid w:val="00F92C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TextonotapieCar">
    <w:name w:val="Texto nota pie Car"/>
    <w:basedOn w:val="Fuentedeprrafopredeter"/>
    <w:link w:val="Textonotapie"/>
    <w:rsid w:val="00F92C2B"/>
    <w:rPr>
      <w:rFonts w:ascii="Times New Roman" w:eastAsia="Times New Roman" w:hAnsi="Times New Roman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385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Pérez</dc:creator>
  <cp:lastModifiedBy>David Pérez</cp:lastModifiedBy>
  <cp:revision>3</cp:revision>
  <dcterms:created xsi:type="dcterms:W3CDTF">2015-11-06T13:36:00Z</dcterms:created>
  <dcterms:modified xsi:type="dcterms:W3CDTF">2015-11-06T19:51:00Z</dcterms:modified>
</cp:coreProperties>
</file>