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A0" w:rsidRPr="00B575AC" w:rsidRDefault="006667A0" w:rsidP="006667A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575AC">
        <w:rPr>
          <w:rFonts w:ascii="Times New Roman" w:hAnsi="Times New Roman" w:cs="Times New Roman"/>
          <w:b/>
          <w:sz w:val="28"/>
          <w:szCs w:val="28"/>
          <w:lang w:val="en-GB"/>
        </w:rPr>
        <w:t>Supplementary information</w:t>
      </w:r>
    </w:p>
    <w:p w:rsidR="00303A5F" w:rsidRPr="00303A5F" w:rsidRDefault="00303A5F" w:rsidP="00303A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A5F">
        <w:rPr>
          <w:rFonts w:ascii="Times New Roman" w:eastAsia="Calibri" w:hAnsi="Times New Roman" w:cs="Times New Roman"/>
          <w:b/>
          <w:sz w:val="24"/>
          <w:szCs w:val="24"/>
        </w:rPr>
        <w:t>Synthesis, crystal structure and DFT study of a zinc(II) complex containing terpyridine (Ter) and pyridine-2,6-dicarboxylic acid (</w:t>
      </w:r>
      <w:proofErr w:type="spellStart"/>
      <w:r w:rsidRPr="00303A5F">
        <w:rPr>
          <w:rFonts w:ascii="Times New Roman" w:eastAsia="Calibri" w:hAnsi="Times New Roman" w:cs="Times New Roman"/>
          <w:b/>
          <w:sz w:val="24"/>
          <w:szCs w:val="24"/>
        </w:rPr>
        <w:t>Pydc</w:t>
      </w:r>
      <w:proofErr w:type="spellEnd"/>
      <w:r w:rsidRPr="00303A5F">
        <w:rPr>
          <w:rFonts w:ascii="Times New Roman" w:eastAsia="Calibri" w:hAnsi="Times New Roman" w:cs="Times New Roman"/>
          <w:b/>
          <w:sz w:val="24"/>
          <w:szCs w:val="24"/>
        </w:rPr>
        <w:t xml:space="preserve">) ligand: </w:t>
      </w:r>
      <w:r w:rsidRPr="00303A5F">
        <w:rPr>
          <w:rFonts w:ascii="Times New Roman" w:eastAsia="Calibri" w:hAnsi="Times New Roman" w:cs="Times New Roman"/>
          <w:b/>
          <w:sz w:val="24"/>
          <w:szCs w:val="24"/>
          <w:lang w:val="en-ZA"/>
        </w:rPr>
        <w:t>Analysis of interactions with amoxicillin</w:t>
      </w:r>
    </w:p>
    <w:p w:rsidR="00863009" w:rsidRPr="00863009" w:rsidRDefault="00863009" w:rsidP="00863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863009">
        <w:rPr>
          <w:rFonts w:ascii="Times New Roman" w:eastAsia="Times New Roman" w:hAnsi="Times New Roman" w:cs="Times New Roman"/>
          <w:i/>
        </w:rPr>
        <w:t>Adedibu</w:t>
      </w:r>
      <w:proofErr w:type="spellEnd"/>
      <w:r w:rsidRPr="00863009">
        <w:rPr>
          <w:rFonts w:ascii="Times New Roman" w:eastAsia="Times New Roman" w:hAnsi="Times New Roman" w:cs="Times New Roman"/>
          <w:i/>
        </w:rPr>
        <w:t xml:space="preserve"> C. </w:t>
      </w:r>
      <w:proofErr w:type="spellStart"/>
      <w:r w:rsidRPr="00863009">
        <w:rPr>
          <w:rFonts w:ascii="Times New Roman" w:eastAsia="Times New Roman" w:hAnsi="Times New Roman" w:cs="Times New Roman"/>
          <w:i/>
        </w:rPr>
        <w:t>Tella</w:t>
      </w:r>
      <w:r w:rsidRPr="00863009">
        <w:rPr>
          <w:rFonts w:ascii="Times New Roman" w:eastAsia="Times New Roman" w:hAnsi="Times New Roman" w:cs="Times New Roman"/>
          <w:i/>
          <w:vertAlign w:val="superscript"/>
        </w:rPr>
        <w:t>a</w:t>
      </w:r>
      <w:proofErr w:type="spellEnd"/>
      <w:r w:rsidRPr="00863009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863009">
        <w:rPr>
          <w:rFonts w:ascii="Times New Roman" w:eastAsia="Times New Roman" w:hAnsi="Times New Roman" w:cs="Times New Roman"/>
          <w:i/>
        </w:rPr>
        <w:t xml:space="preserve">, Joshua A. </w:t>
      </w:r>
      <w:proofErr w:type="spellStart"/>
      <w:r w:rsidRPr="00863009">
        <w:rPr>
          <w:rFonts w:ascii="Times New Roman" w:eastAsia="Times New Roman" w:hAnsi="Times New Roman" w:cs="Times New Roman"/>
          <w:i/>
        </w:rPr>
        <w:t>Obaleye</w:t>
      </w:r>
      <w:r w:rsidRPr="00863009">
        <w:rPr>
          <w:rFonts w:ascii="Times New Roman" w:eastAsia="Times New Roman" w:hAnsi="Times New Roman" w:cs="Times New Roman"/>
          <w:i/>
          <w:vertAlign w:val="superscript"/>
        </w:rPr>
        <w:t>a</w:t>
      </w:r>
      <w:proofErr w:type="spellEnd"/>
      <w:r w:rsidRPr="00863009">
        <w:rPr>
          <w:rFonts w:ascii="Times New Roman" w:eastAsia="Times New Roman" w:hAnsi="Times New Roman" w:cs="Times New Roman"/>
          <w:i/>
        </w:rPr>
        <w:t xml:space="preserve">, Margaret D. </w:t>
      </w:r>
      <w:proofErr w:type="spellStart"/>
      <w:r w:rsidRPr="00863009">
        <w:rPr>
          <w:rFonts w:ascii="Times New Roman" w:eastAsia="Times New Roman" w:hAnsi="Times New Roman" w:cs="Times New Roman"/>
          <w:i/>
        </w:rPr>
        <w:t>Olawale</w:t>
      </w:r>
      <w:r w:rsidRPr="00863009">
        <w:rPr>
          <w:rFonts w:ascii="Times New Roman" w:eastAsia="Times New Roman" w:hAnsi="Times New Roman" w:cs="Times New Roman"/>
          <w:i/>
          <w:vertAlign w:val="superscript"/>
        </w:rPr>
        <w:t>a</w:t>
      </w:r>
      <w:proofErr w:type="spellEnd"/>
      <w:r w:rsidRPr="00863009">
        <w:rPr>
          <w:rFonts w:ascii="Times New Roman" w:eastAsia="Times New Roman" w:hAnsi="Times New Roman" w:cs="Times New Roman"/>
          <w:i/>
        </w:rPr>
        <w:t xml:space="preserve">, Jean Marie Vianney </w:t>
      </w:r>
      <w:proofErr w:type="spellStart"/>
      <w:r w:rsidRPr="00863009">
        <w:rPr>
          <w:rFonts w:ascii="Times New Roman" w:eastAsia="Times New Roman" w:hAnsi="Times New Roman" w:cs="Times New Roman"/>
          <w:i/>
        </w:rPr>
        <w:t>Ngororabanga</w:t>
      </w:r>
      <w:r w:rsidRPr="00863009">
        <w:rPr>
          <w:rFonts w:ascii="Times New Roman" w:eastAsia="Times New Roman" w:hAnsi="Times New Roman" w:cs="Times New Roman"/>
          <w:i/>
          <w:vertAlign w:val="superscript"/>
        </w:rPr>
        <w:t>b</w:t>
      </w:r>
      <w:proofErr w:type="spellEnd"/>
      <w:r w:rsidRPr="00863009">
        <w:rPr>
          <w:rFonts w:ascii="Times New Roman" w:eastAsia="Times New Roman" w:hAnsi="Times New Roman" w:cs="Times New Roman"/>
          <w:i/>
        </w:rPr>
        <w:t xml:space="preserve">, Adeniyi S. </w:t>
      </w:r>
      <w:proofErr w:type="spellStart"/>
      <w:r w:rsidRPr="00863009">
        <w:rPr>
          <w:rFonts w:ascii="Times New Roman" w:eastAsia="Times New Roman" w:hAnsi="Times New Roman" w:cs="Times New Roman"/>
          <w:i/>
        </w:rPr>
        <w:t>Ogunlaja</w:t>
      </w:r>
      <w:r w:rsidRPr="00863009">
        <w:rPr>
          <w:rFonts w:ascii="Times New Roman" w:eastAsia="Times New Roman" w:hAnsi="Times New Roman" w:cs="Times New Roman"/>
          <w:i/>
          <w:vertAlign w:val="superscript"/>
        </w:rPr>
        <w:t>b</w:t>
      </w:r>
      <w:proofErr w:type="spellEnd"/>
      <w:r w:rsidRPr="00863009">
        <w:rPr>
          <w:rFonts w:ascii="Times New Roman" w:eastAsia="Times New Roman" w:hAnsi="Times New Roman" w:cs="Times New Roman"/>
          <w:i/>
          <w:vertAlign w:val="superscript"/>
        </w:rPr>
        <w:t xml:space="preserve">* </w:t>
      </w:r>
      <w:r w:rsidRPr="00863009">
        <w:rPr>
          <w:rFonts w:ascii="Times New Roman" w:eastAsia="Times New Roman" w:hAnsi="Times New Roman" w:cs="Times New Roman"/>
          <w:i/>
        </w:rPr>
        <w:t xml:space="preserve">and Susan A. </w:t>
      </w:r>
      <w:proofErr w:type="spellStart"/>
      <w:r w:rsidRPr="00863009">
        <w:rPr>
          <w:rFonts w:ascii="Times New Roman" w:eastAsia="Times New Roman" w:hAnsi="Times New Roman" w:cs="Times New Roman"/>
          <w:i/>
        </w:rPr>
        <w:t>Bourne</w:t>
      </w:r>
      <w:r w:rsidRPr="00863009">
        <w:rPr>
          <w:rFonts w:ascii="Times New Roman" w:eastAsia="Times New Roman" w:hAnsi="Times New Roman" w:cs="Times New Roman"/>
          <w:i/>
          <w:vertAlign w:val="superscript"/>
        </w:rPr>
        <w:t>c</w:t>
      </w:r>
      <w:proofErr w:type="spellEnd"/>
    </w:p>
    <w:p w:rsidR="006667A0" w:rsidRDefault="006667A0" w:rsidP="006667A0">
      <w:pPr>
        <w:rPr>
          <w:lang w:val="en-GB"/>
        </w:rPr>
      </w:pPr>
    </w:p>
    <w:p w:rsidR="006667A0" w:rsidRDefault="006667A0" w:rsidP="006667A0">
      <w:pPr>
        <w:rPr>
          <w:lang w:val="en-GB"/>
        </w:rPr>
      </w:pPr>
    </w:p>
    <w:p w:rsidR="006667A0" w:rsidRPr="001839CF" w:rsidRDefault="006667A0" w:rsidP="006667A0">
      <w:pPr>
        <w:pStyle w:val="Heading2"/>
        <w:jc w:val="center"/>
      </w:pPr>
      <w:r w:rsidRPr="001839CF">
        <w:rPr>
          <w:noProof/>
          <w:lang w:val="en-ZA" w:eastAsia="en-ZA"/>
        </w:rPr>
        <w:drawing>
          <wp:inline distT="0" distB="0" distL="0" distR="0" wp14:anchorId="4FC07F82" wp14:editId="26E889D3">
            <wp:extent cx="1809750" cy="16632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693" cy="166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A0" w:rsidRPr="001839CF" w:rsidRDefault="006667A0" w:rsidP="006667A0">
      <w:pPr>
        <w:pStyle w:val="Heading2"/>
        <w:rPr>
          <w:b w:val="0"/>
          <w:sz w:val="22"/>
          <w:szCs w:val="22"/>
        </w:rPr>
      </w:pPr>
      <w:r w:rsidRPr="001839CF">
        <w:rPr>
          <w:b w:val="0"/>
          <w:sz w:val="22"/>
          <w:szCs w:val="22"/>
        </w:rPr>
        <w:t xml:space="preserve">Fig. </w:t>
      </w:r>
      <w:r>
        <w:rPr>
          <w:b w:val="0"/>
          <w:sz w:val="22"/>
          <w:szCs w:val="22"/>
        </w:rPr>
        <w:t>S</w:t>
      </w:r>
      <w:r w:rsidRPr="001839CF">
        <w:rPr>
          <w:b w:val="0"/>
          <w:sz w:val="22"/>
          <w:szCs w:val="22"/>
        </w:rPr>
        <w:t xml:space="preserve">1: Colorless </w:t>
      </w:r>
      <w:r w:rsidRPr="00792F59">
        <w:rPr>
          <w:b w:val="0"/>
          <w:sz w:val="22"/>
          <w:szCs w:val="22"/>
        </w:rPr>
        <w:t xml:space="preserve">crystals of </w:t>
      </w:r>
      <w:r w:rsidRPr="00A0459A">
        <w:rPr>
          <w:b w:val="0"/>
          <w:sz w:val="22"/>
          <w:szCs w:val="22"/>
        </w:rPr>
        <w:t>[Zn(II)(Ter)(</w:t>
      </w:r>
      <w:proofErr w:type="spellStart"/>
      <w:r w:rsidRPr="00A0459A">
        <w:rPr>
          <w:b w:val="0"/>
          <w:sz w:val="22"/>
          <w:szCs w:val="22"/>
        </w:rPr>
        <w:t>Pydc</w:t>
      </w:r>
      <w:proofErr w:type="spellEnd"/>
      <w:r w:rsidRPr="00A0459A">
        <w:rPr>
          <w:b w:val="0"/>
          <w:sz w:val="22"/>
          <w:szCs w:val="22"/>
        </w:rPr>
        <w:t>)∙4H</w:t>
      </w:r>
      <w:r w:rsidRPr="00A0459A">
        <w:rPr>
          <w:b w:val="0"/>
          <w:sz w:val="22"/>
          <w:szCs w:val="22"/>
          <w:vertAlign w:val="subscript"/>
        </w:rPr>
        <w:t>2</w:t>
      </w:r>
      <w:r w:rsidRPr="00A0459A">
        <w:rPr>
          <w:b w:val="0"/>
          <w:sz w:val="22"/>
          <w:szCs w:val="22"/>
        </w:rPr>
        <w:t>O]</w:t>
      </w:r>
      <w:r w:rsidRPr="00792F59">
        <w:rPr>
          <w:b w:val="0"/>
          <w:sz w:val="22"/>
          <w:szCs w:val="22"/>
        </w:rPr>
        <w:t>.</w:t>
      </w:r>
    </w:p>
    <w:p w:rsidR="006667A0" w:rsidRDefault="006667A0" w:rsidP="006667A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lang w:val="en-ZA"/>
        </w:rPr>
      </w:pPr>
    </w:p>
    <w:p w:rsidR="006667A0" w:rsidRDefault="006667A0" w:rsidP="00E77D5E">
      <w:pPr>
        <w:spacing w:line="360" w:lineRule="auto"/>
        <w:jc w:val="center"/>
        <w:rPr>
          <w:rFonts w:ascii="Times New Roman" w:hAnsi="Times New Roman"/>
          <w:b/>
        </w:rPr>
      </w:pPr>
      <w:r w:rsidRPr="00FD4437">
        <w:rPr>
          <w:rFonts w:ascii="Times New Roman" w:hAnsi="Times New Roman"/>
          <w:b/>
          <w:noProof/>
          <w:lang w:val="en-ZA" w:eastAsia="en-ZA"/>
        </w:rPr>
        <w:drawing>
          <wp:inline distT="0" distB="0" distL="0" distR="0" wp14:anchorId="062E1BFE" wp14:editId="31F48E08">
            <wp:extent cx="4657725" cy="349329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21" cy="34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A0" w:rsidRDefault="00E77D5E" w:rsidP="006667A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Fig. S2</w:t>
      </w:r>
      <w:r>
        <w:rPr>
          <w:rFonts w:ascii="Times New Roman" w:hAnsi="Times New Roman" w:cs="Times New Roman"/>
        </w:rPr>
        <w:tab/>
      </w:r>
      <w:r w:rsidR="006667A0" w:rsidRPr="00132612">
        <w:rPr>
          <w:rFonts w:ascii="Times New Roman" w:hAnsi="Times New Roman" w:cs="Times New Roman"/>
        </w:rPr>
        <w:t xml:space="preserve">TGA plot of </w:t>
      </w:r>
      <w:r w:rsidR="006667A0" w:rsidRPr="00D359EE">
        <w:rPr>
          <w:rFonts w:ascii="Times New Roman" w:hAnsi="Times New Roman" w:cs="Times New Roman"/>
        </w:rPr>
        <w:t>2,2′:6′,2′′-terpyridine</w:t>
      </w:r>
    </w:p>
    <w:p w:rsidR="006667A0" w:rsidRDefault="006667A0" w:rsidP="00E77D5E">
      <w:pPr>
        <w:spacing w:line="360" w:lineRule="auto"/>
        <w:jc w:val="center"/>
        <w:rPr>
          <w:rFonts w:ascii="Times New Roman" w:hAnsi="Times New Roman"/>
          <w:b/>
        </w:rPr>
      </w:pPr>
      <w:r w:rsidRPr="00FD4437">
        <w:rPr>
          <w:rFonts w:ascii="Times New Roman" w:hAnsi="Times New Roman"/>
          <w:b/>
          <w:noProof/>
          <w:lang w:val="en-ZA" w:eastAsia="en-ZA"/>
        </w:rPr>
        <w:lastRenderedPageBreak/>
        <w:drawing>
          <wp:inline distT="0" distB="0" distL="0" distR="0" wp14:anchorId="0DF98993" wp14:editId="391F7683">
            <wp:extent cx="4629150" cy="347186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072" cy="34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A0" w:rsidRDefault="00E77D5E" w:rsidP="006667A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Fig. S3</w:t>
      </w:r>
      <w:r>
        <w:rPr>
          <w:rFonts w:ascii="Times New Roman" w:hAnsi="Times New Roman" w:cs="Times New Roman"/>
        </w:rPr>
        <w:tab/>
      </w:r>
      <w:r w:rsidR="006667A0">
        <w:rPr>
          <w:rFonts w:ascii="Times New Roman" w:hAnsi="Times New Roman" w:cs="Times New Roman"/>
        </w:rPr>
        <w:t>TGA plot of</w:t>
      </w:r>
      <w:r w:rsidR="006667A0" w:rsidRPr="00D359EE">
        <w:rPr>
          <w:rFonts w:ascii="Times New Roman" w:hAnsi="Times New Roman" w:cs="Times New Roman"/>
        </w:rPr>
        <w:t xml:space="preserve"> </w:t>
      </w:r>
      <w:r w:rsidR="006667A0">
        <w:rPr>
          <w:rFonts w:ascii="Times New Roman" w:hAnsi="Times New Roman" w:cs="Times New Roman"/>
          <w:bCs/>
        </w:rPr>
        <w:t>pyridine-2,6-dicarboxylic acid</w:t>
      </w:r>
    </w:p>
    <w:p w:rsidR="006667A0" w:rsidRPr="00A54884" w:rsidRDefault="006667A0" w:rsidP="006667A0">
      <w:pPr>
        <w:rPr>
          <w:lang w:val="en-GB"/>
        </w:rPr>
      </w:pPr>
    </w:p>
    <w:p w:rsidR="00E77D5E" w:rsidRPr="002F0919" w:rsidRDefault="00E77D5E" w:rsidP="00E77D5E">
      <w:pPr>
        <w:spacing w:after="0" w:line="360" w:lineRule="auto"/>
        <w:jc w:val="center"/>
        <w:rPr>
          <w:rFonts w:eastAsiaTheme="minorEastAsia"/>
          <w:color w:val="000000" w:themeColor="text1"/>
        </w:rPr>
      </w:pPr>
      <w:r w:rsidRPr="002F0919">
        <w:rPr>
          <w:rFonts w:eastAsiaTheme="minorEastAsia"/>
          <w:noProof/>
          <w:color w:val="000000" w:themeColor="text1"/>
          <w:lang w:val="en-ZA" w:eastAsia="en-ZA"/>
        </w:rPr>
        <w:drawing>
          <wp:inline distT="0" distB="0" distL="0" distR="0" wp14:anchorId="3E50BAF7" wp14:editId="3A216AC6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D5E" w:rsidRPr="00D83B4A" w:rsidRDefault="00E77D5E" w:rsidP="00E77D5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3B4A">
        <w:rPr>
          <w:rFonts w:ascii="Times New Roman" w:hAnsi="Times New Roman" w:cs="Times New Roman"/>
          <w:color w:val="000000" w:themeColor="text1"/>
        </w:rPr>
        <w:t xml:space="preserve">Fig. </w:t>
      </w:r>
      <w:r>
        <w:rPr>
          <w:rFonts w:ascii="Times New Roman" w:hAnsi="Times New Roman" w:cs="Times New Roman"/>
          <w:color w:val="000000" w:themeColor="text1"/>
        </w:rPr>
        <w:t>S4</w:t>
      </w:r>
      <w:r w:rsidRPr="00D83B4A">
        <w:rPr>
          <w:rFonts w:ascii="Times New Roman" w:hAnsi="Times New Roman" w:cs="Times New Roman"/>
          <w:color w:val="000000" w:themeColor="text1"/>
        </w:rPr>
        <w:t xml:space="preserve"> Calibration Curve obtained from the absorption spectrum (256 nm) in the ultraviolent-visible </w:t>
      </w:r>
      <w:r w:rsidRPr="00D83B4A">
        <w:rPr>
          <w:rFonts w:ascii="Times New Roman" w:hAnsi="Times New Roman" w:cs="Times New Roman"/>
          <w:color w:val="000000" w:themeColor="text1"/>
        </w:rPr>
        <w:tab/>
        <w:t xml:space="preserve">spectral region for </w:t>
      </w:r>
      <w:r>
        <w:rPr>
          <w:rFonts w:ascii="Times New Roman" w:hAnsi="Times New Roman" w:cs="Times New Roman"/>
          <w:color w:val="000000" w:themeColor="text1"/>
        </w:rPr>
        <w:t>a</w:t>
      </w:r>
      <w:r w:rsidRPr="00D83B4A">
        <w:rPr>
          <w:rFonts w:ascii="Times New Roman" w:hAnsi="Times New Roman" w:cs="Times New Roman"/>
          <w:color w:val="000000" w:themeColor="text1"/>
        </w:rPr>
        <w:t>moxicillin solution.</w:t>
      </w:r>
    </w:p>
    <w:p w:rsidR="006667A0" w:rsidRDefault="006667A0"/>
    <w:p w:rsidR="00DA0967" w:rsidRPr="0026279D" w:rsidRDefault="00DA0967" w:rsidP="00DA0967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26279D">
        <w:rPr>
          <w:rFonts w:ascii="Times New Roman" w:hAnsi="Times New Roman"/>
          <w:b/>
          <w:bCs/>
          <w:lang w:val="en-ZA"/>
        </w:rPr>
        <w:lastRenderedPageBreak/>
        <w:t xml:space="preserve">Table </w:t>
      </w:r>
      <w:r>
        <w:rPr>
          <w:rFonts w:ascii="Times New Roman" w:hAnsi="Times New Roman"/>
          <w:b/>
          <w:bCs/>
          <w:lang w:val="en-ZA"/>
        </w:rPr>
        <w:t>S1</w:t>
      </w:r>
      <w:r w:rsidRPr="0026279D">
        <w:rPr>
          <w:rFonts w:ascii="Times New Roman" w:hAnsi="Times New Roman"/>
          <w:b/>
          <w:bCs/>
          <w:lang w:val="en-ZA"/>
        </w:rPr>
        <w:t xml:space="preserve">. </w:t>
      </w:r>
      <w:r w:rsidRPr="0026279D">
        <w:rPr>
          <w:rFonts w:ascii="Times New Roman" w:hAnsi="Times New Roman"/>
          <w:lang w:val="en-ZA"/>
        </w:rPr>
        <w:t xml:space="preserve">Summary of various contacts and their contributions to the </w:t>
      </w:r>
      <w:proofErr w:type="spellStart"/>
      <w:r w:rsidRPr="0026279D">
        <w:rPr>
          <w:rFonts w:ascii="Times New Roman" w:hAnsi="Times New Roman"/>
          <w:lang w:val="en-ZA"/>
        </w:rPr>
        <w:t>Hirshfeld</w:t>
      </w:r>
      <w:proofErr w:type="spellEnd"/>
      <w:r w:rsidRPr="0026279D">
        <w:rPr>
          <w:rFonts w:ascii="Times New Roman" w:hAnsi="Times New Roman"/>
          <w:lang w:val="en-ZA"/>
        </w:rPr>
        <w:t xml:space="preserve"> Surface in </w:t>
      </w:r>
      <w:r w:rsidRPr="0026279D">
        <w:rPr>
          <w:rFonts w:ascii="Times New Roman" w:hAnsi="Times New Roman"/>
          <w:bCs/>
          <w:lang w:val="en-ZA"/>
        </w:rPr>
        <w:t>[</w:t>
      </w:r>
      <w:r w:rsidRPr="0026279D">
        <w:rPr>
          <w:rFonts w:ascii="Times New Roman" w:hAnsi="Times New Roman"/>
          <w:bCs/>
        </w:rPr>
        <w:t>Zn(II)(Ter)(</w:t>
      </w:r>
      <w:proofErr w:type="spellStart"/>
      <w:r w:rsidRPr="0026279D">
        <w:rPr>
          <w:rFonts w:ascii="Times New Roman" w:hAnsi="Times New Roman"/>
          <w:bCs/>
        </w:rPr>
        <w:t>Pydc</w:t>
      </w:r>
      <w:proofErr w:type="spellEnd"/>
      <w:r w:rsidRPr="0026279D">
        <w:rPr>
          <w:rFonts w:ascii="Times New Roman" w:hAnsi="Times New Roman"/>
          <w:bCs/>
        </w:rPr>
        <w:t>)∙4H</w:t>
      </w:r>
      <w:r w:rsidRPr="0026279D">
        <w:rPr>
          <w:rFonts w:ascii="Times New Roman" w:hAnsi="Times New Roman"/>
          <w:bCs/>
          <w:vertAlign w:val="subscript"/>
        </w:rPr>
        <w:t>2</w:t>
      </w:r>
      <w:r w:rsidRPr="0026279D">
        <w:rPr>
          <w:rFonts w:ascii="Times New Roman" w:hAnsi="Times New Roman"/>
          <w:bCs/>
        </w:rPr>
        <w:t>O</w:t>
      </w:r>
      <w:r w:rsidRPr="0026279D">
        <w:rPr>
          <w:rFonts w:ascii="Times New Roman" w:hAnsi="Times New Roman"/>
          <w:bCs/>
          <w:lang w:val="en-ZA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0967" w:rsidRPr="0026279D" w:rsidTr="008A1B66"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  <w:bCs/>
                <w:lang w:val="en-ZA"/>
              </w:rPr>
              <w:t>Types of contacts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  <w:bCs/>
                <w:lang w:val="en-ZA"/>
              </w:rPr>
              <w:t>Contributions in%</w:t>
            </w:r>
          </w:p>
        </w:tc>
      </w:tr>
      <w:tr w:rsidR="00DA0967" w:rsidRPr="0026279D" w:rsidTr="008A1B66"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  <w:lang w:val="en-ZA"/>
              </w:rPr>
              <w:t>C···O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</w:rPr>
              <w:t>6.8</w:t>
            </w:r>
          </w:p>
        </w:tc>
      </w:tr>
      <w:tr w:rsidR="00DA0967" w:rsidRPr="0026279D" w:rsidTr="008A1B66"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  <w:lang w:val="en-ZA"/>
              </w:rPr>
              <w:t>O···O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</w:rPr>
              <w:t>6.0</w:t>
            </w:r>
          </w:p>
        </w:tc>
      </w:tr>
      <w:tr w:rsidR="00DA0967" w:rsidRPr="0026279D" w:rsidTr="008A1B66"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  <w:lang w:val="en-ZA"/>
              </w:rPr>
            </w:pPr>
            <w:r w:rsidRPr="0026279D">
              <w:rPr>
                <w:rFonts w:ascii="Times New Roman" w:hAnsi="Times New Roman"/>
                <w:lang w:val="en-ZA"/>
              </w:rPr>
              <w:t>N···H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</w:rPr>
              <w:t>2.9</w:t>
            </w:r>
          </w:p>
        </w:tc>
      </w:tr>
      <w:tr w:rsidR="00DA0967" w:rsidRPr="0026279D" w:rsidTr="008A1B66"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  <w:lang w:val="en-ZA"/>
              </w:rPr>
              <w:t>C···C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</w:rPr>
              <w:t>7.6</w:t>
            </w:r>
          </w:p>
        </w:tc>
      </w:tr>
      <w:tr w:rsidR="00DA0967" w:rsidRPr="0026279D" w:rsidTr="008A1B66"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  <w:lang w:val="en-ZA"/>
              </w:rPr>
              <w:t>H···H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</w:rPr>
              <w:t>17.9</w:t>
            </w:r>
          </w:p>
        </w:tc>
      </w:tr>
      <w:tr w:rsidR="00DA0967" w:rsidRPr="0026279D" w:rsidTr="008A1B66"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  <w:lang w:val="en-ZA"/>
              </w:rPr>
              <w:t>C···H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</w:rPr>
              <w:t>12.1</w:t>
            </w:r>
          </w:p>
        </w:tc>
      </w:tr>
      <w:tr w:rsidR="00DA0967" w:rsidRPr="0026279D" w:rsidTr="008A1B66">
        <w:trPr>
          <w:trHeight w:val="70"/>
        </w:trPr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  <w:lang w:val="en-ZA"/>
              </w:rPr>
            </w:pPr>
            <w:r w:rsidRPr="0026279D">
              <w:rPr>
                <w:rFonts w:ascii="Times New Roman" w:hAnsi="Times New Roman"/>
                <w:lang w:val="en-ZA"/>
              </w:rPr>
              <w:t>O···H</w:t>
            </w:r>
          </w:p>
        </w:tc>
        <w:tc>
          <w:tcPr>
            <w:tcW w:w="4621" w:type="dxa"/>
          </w:tcPr>
          <w:p w:rsidR="00DA0967" w:rsidRPr="0026279D" w:rsidRDefault="00DA0967" w:rsidP="008A1B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279D">
              <w:rPr>
                <w:rFonts w:ascii="Times New Roman" w:hAnsi="Times New Roman"/>
              </w:rPr>
              <w:t>46.0</w:t>
            </w:r>
          </w:p>
        </w:tc>
      </w:tr>
    </w:tbl>
    <w:p w:rsidR="00DA0967" w:rsidRPr="0026279D" w:rsidRDefault="00DA0967" w:rsidP="00DA0967">
      <w:pPr>
        <w:spacing w:after="0" w:line="480" w:lineRule="auto"/>
        <w:jc w:val="both"/>
        <w:rPr>
          <w:rFonts w:ascii="Times New Roman" w:hAnsi="Times New Roman"/>
          <w:lang w:val="en-ZA"/>
        </w:rPr>
      </w:pPr>
    </w:p>
    <w:p w:rsidR="00037C9E" w:rsidRDefault="00037C9E" w:rsidP="00037C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990">
        <w:drawing>
          <wp:inline distT="0" distB="0" distL="0" distR="0" wp14:anchorId="59E02270" wp14:editId="06961A0D">
            <wp:extent cx="5895975" cy="327313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7122" r="9454" b="6838"/>
                    <a:stretch/>
                  </pic:blipFill>
                  <pic:spPr bwMode="auto">
                    <a:xfrm>
                      <a:off x="0" y="0"/>
                      <a:ext cx="5904577" cy="327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D50" w:rsidRDefault="00245D50" w:rsidP="00037C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Spectrum C extends to the near IR region. However, maximum absorbance was recorded at 551 nm.</w:t>
      </w:r>
      <w:bookmarkStart w:id="0" w:name="_GoBack"/>
      <w:bookmarkEnd w:id="0"/>
    </w:p>
    <w:p w:rsidR="00245D50" w:rsidRDefault="00245D50" w:rsidP="00245D5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D50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0F6FA2C0" wp14:editId="4633AD5B">
            <wp:extent cx="28956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597" t="54416" r="28685"/>
                    <a:stretch/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C9E" w:rsidRPr="00412AB1" w:rsidRDefault="00037C9E" w:rsidP="00037C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AB1">
        <w:rPr>
          <w:rFonts w:ascii="Times New Roman" w:hAnsi="Times New Roman" w:cs="Times New Roman"/>
          <w:b/>
        </w:rPr>
        <w:lastRenderedPageBreak/>
        <w:t xml:space="preserve">Fig. </w:t>
      </w:r>
      <w:r>
        <w:rPr>
          <w:rFonts w:ascii="Times New Roman" w:hAnsi="Times New Roman" w:cs="Times New Roman"/>
          <w:b/>
        </w:rPr>
        <w:t>S5</w:t>
      </w:r>
      <w:r w:rsidRPr="00412AB1">
        <w:rPr>
          <w:rFonts w:ascii="Times New Roman" w:hAnsi="Times New Roman" w:cs="Times New Roman"/>
        </w:rPr>
        <w:t xml:space="preserve">. The electronic spectrum of </w:t>
      </w:r>
      <w:r>
        <w:rPr>
          <w:rFonts w:ascii="Times New Roman" w:hAnsi="Times New Roman" w:cs="Times New Roman"/>
        </w:rPr>
        <w:t xml:space="preserve">(A) </w:t>
      </w:r>
      <w:r w:rsidRPr="0026279D">
        <w:rPr>
          <w:rFonts w:ascii="Times New Roman" w:eastAsia="AdvOT999035f4" w:hAnsi="Times New Roman" w:cs="Times New Roman"/>
        </w:rPr>
        <w:t>[Zn(II)(</w:t>
      </w:r>
      <w:proofErr w:type="spellStart"/>
      <w:r w:rsidRPr="002477AC">
        <w:rPr>
          <w:rFonts w:ascii="Times New Roman" w:eastAsia="AdvOT999035f4" w:hAnsi="Times New Roman" w:cs="Times New Roman"/>
          <w:color w:val="FF0000"/>
        </w:rPr>
        <w:t>Tpy</w:t>
      </w:r>
      <w:proofErr w:type="spellEnd"/>
      <w:r w:rsidRPr="0026279D">
        <w:rPr>
          <w:rFonts w:ascii="Times New Roman" w:eastAsia="AdvOT999035f4" w:hAnsi="Times New Roman" w:cs="Times New Roman"/>
        </w:rPr>
        <w:t>)(</w:t>
      </w:r>
      <w:proofErr w:type="spellStart"/>
      <w:r w:rsidRPr="0026279D">
        <w:rPr>
          <w:rFonts w:ascii="Times New Roman" w:eastAsia="AdvOT999035f4" w:hAnsi="Times New Roman" w:cs="Times New Roman"/>
        </w:rPr>
        <w:t>Pydc</w:t>
      </w:r>
      <w:proofErr w:type="spellEnd"/>
      <w:r w:rsidRPr="0026279D">
        <w:rPr>
          <w:rFonts w:ascii="Times New Roman" w:eastAsia="AdvOT999035f4" w:hAnsi="Times New Roman" w:cs="Times New Roman"/>
        </w:rPr>
        <w:t>)∙4H</w:t>
      </w:r>
      <w:r w:rsidRPr="0026279D">
        <w:rPr>
          <w:rFonts w:ascii="Times New Roman" w:eastAsia="AdvOT999035f4" w:hAnsi="Times New Roman" w:cs="Times New Roman"/>
          <w:vertAlign w:val="subscript"/>
        </w:rPr>
        <w:t>2</w:t>
      </w:r>
      <w:r w:rsidRPr="0026279D">
        <w:rPr>
          <w:rFonts w:ascii="Times New Roman" w:eastAsia="AdvOT999035f4" w:hAnsi="Times New Roman" w:cs="Times New Roman"/>
        </w:rPr>
        <w:t>O]</w:t>
      </w:r>
      <w:r>
        <w:rPr>
          <w:rFonts w:ascii="Times New Roman" w:eastAsia="AdvOT999035f4" w:hAnsi="Times New Roman" w:cs="Times New Roman"/>
        </w:rPr>
        <w:t>, (B)</w:t>
      </w:r>
      <w:r w:rsidRPr="0026279D">
        <w:rPr>
          <w:rFonts w:ascii="Times New Roman" w:eastAsia="AdvOT999035f4" w:hAnsi="Times New Roman" w:cs="Times New Roman"/>
        </w:rPr>
        <w:t xml:space="preserve"> </w:t>
      </w:r>
      <w:r w:rsidRPr="00412AB1">
        <w:rPr>
          <w:rFonts w:ascii="Times New Roman" w:hAnsi="Times New Roman" w:cs="Times New Roman"/>
        </w:rPr>
        <w:t>amoxicillin</w:t>
      </w:r>
      <w:r>
        <w:rPr>
          <w:rFonts w:ascii="Times New Roman" w:hAnsi="Times New Roman" w:cs="Times New Roman"/>
        </w:rPr>
        <w:t xml:space="preserve"> and (C) </w:t>
      </w:r>
      <w:r w:rsidRPr="00072990">
        <w:rPr>
          <w:rFonts w:ascii="Times New Roman" w:hAnsi="Times New Roman" w:cs="Times New Roman"/>
        </w:rPr>
        <w:t>[Zn(II)(</w:t>
      </w:r>
      <w:proofErr w:type="spellStart"/>
      <w:r w:rsidRPr="00072990">
        <w:rPr>
          <w:rFonts w:ascii="Times New Roman" w:hAnsi="Times New Roman" w:cs="Times New Roman"/>
        </w:rPr>
        <w:t>Tpy</w:t>
      </w:r>
      <w:proofErr w:type="spellEnd"/>
      <w:r w:rsidRPr="00072990">
        <w:rPr>
          <w:rFonts w:ascii="Times New Roman" w:hAnsi="Times New Roman" w:cs="Times New Roman"/>
        </w:rPr>
        <w:t>)(</w:t>
      </w:r>
      <w:proofErr w:type="spellStart"/>
      <w:r w:rsidRPr="00072990">
        <w:rPr>
          <w:rFonts w:ascii="Times New Roman" w:hAnsi="Times New Roman" w:cs="Times New Roman"/>
        </w:rPr>
        <w:t>Pydc</w:t>
      </w:r>
      <w:proofErr w:type="spellEnd"/>
      <w:r w:rsidRPr="00072990">
        <w:rPr>
          <w:rFonts w:ascii="Times New Roman" w:hAnsi="Times New Roman" w:cs="Times New Roman"/>
        </w:rPr>
        <w:t>)∙4H2O]</w:t>
      </w:r>
      <w:r>
        <w:rPr>
          <w:rFonts w:ascii="Times New Roman" w:hAnsi="Times New Roman" w:cs="Times New Roman"/>
        </w:rPr>
        <w:t>-</w:t>
      </w:r>
      <w:r w:rsidRPr="00072990">
        <w:rPr>
          <w:rFonts w:ascii="Times New Roman" w:hAnsi="Times New Roman" w:cs="Times New Roman"/>
        </w:rPr>
        <w:t>amoxicillin</w:t>
      </w:r>
      <w:r w:rsidRPr="00412AB1">
        <w:rPr>
          <w:rFonts w:ascii="Times New Roman" w:hAnsi="Times New Roman" w:cs="Times New Roman"/>
        </w:rPr>
        <w:t>.</w:t>
      </w:r>
      <w:r w:rsidRPr="0026279D">
        <w:t xml:space="preserve"> </w:t>
      </w:r>
    </w:p>
    <w:p w:rsidR="00DA0967" w:rsidRDefault="00DA0967"/>
    <w:sectPr w:rsidR="00DA096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0F" w:rsidRDefault="00B66C0F">
      <w:pPr>
        <w:spacing w:after="0" w:line="240" w:lineRule="auto"/>
      </w:pPr>
      <w:r>
        <w:separator/>
      </w:r>
    </w:p>
  </w:endnote>
  <w:endnote w:type="continuationSeparator" w:id="0">
    <w:p w:rsidR="00B66C0F" w:rsidRDefault="00B6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78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730" w:rsidRDefault="0066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3730" w:rsidRDefault="00B66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0F" w:rsidRDefault="00B66C0F">
      <w:pPr>
        <w:spacing w:after="0" w:line="240" w:lineRule="auto"/>
      </w:pPr>
      <w:r>
        <w:separator/>
      </w:r>
    </w:p>
  </w:footnote>
  <w:footnote w:type="continuationSeparator" w:id="0">
    <w:p w:rsidR="00B66C0F" w:rsidRDefault="00B6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A0"/>
    <w:rsid w:val="00037C9E"/>
    <w:rsid w:val="00245D50"/>
    <w:rsid w:val="00303A5F"/>
    <w:rsid w:val="004B3E9F"/>
    <w:rsid w:val="004C5821"/>
    <w:rsid w:val="005353F0"/>
    <w:rsid w:val="006667A0"/>
    <w:rsid w:val="0068420D"/>
    <w:rsid w:val="007622F6"/>
    <w:rsid w:val="00863009"/>
    <w:rsid w:val="00A952B1"/>
    <w:rsid w:val="00B575AC"/>
    <w:rsid w:val="00B66C0F"/>
    <w:rsid w:val="00D6486A"/>
    <w:rsid w:val="00DA0967"/>
    <w:rsid w:val="00E77D5E"/>
    <w:rsid w:val="00EA0D67"/>
    <w:rsid w:val="00EC4B75"/>
    <w:rsid w:val="00E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FE3"/>
  <w15:chartTrackingRefBased/>
  <w15:docId w15:val="{B3598A6D-74C9-4312-909F-143A24A4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7A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7A0"/>
    <w:pPr>
      <w:keepNext/>
      <w:keepLines/>
      <w:spacing w:before="40" w:after="0" w:line="276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7A0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A0"/>
    <w:rPr>
      <w:lang w:val="en-US"/>
    </w:rPr>
  </w:style>
  <w:style w:type="table" w:styleId="TableGrid">
    <w:name w:val="Table Grid"/>
    <w:basedOn w:val="TableNormal"/>
    <w:uiPriority w:val="59"/>
    <w:rsid w:val="00DA09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atu\Desktop\Anti%20mag\CALIBRATION%20OF%20AMOXICIMI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02777777777777"/>
          <c:y val="5.3912219305920092E-2"/>
          <c:w val="0.80747222222222226"/>
          <c:h val="0.79530074365704284"/>
        </c:manualLayout>
      </c:layout>
      <c:scatterChart>
        <c:scatterStyle val="lineMarker"/>
        <c:varyColors val="0"/>
        <c:ser>
          <c:idx val="0"/>
          <c:order val="0"/>
          <c:tx>
            <c:strRef>
              <c:f>AMX!$B$1</c:f>
              <c:strCache>
                <c:ptCount val="1"/>
                <c:pt idx="0">
                  <c:v>ABS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intercept val="0"/>
            <c:dispRSqr val="1"/>
            <c:dispEq val="1"/>
            <c:trendlineLbl>
              <c:layout>
                <c:manualLayout>
                  <c:x val="-0.27281824146981626"/>
                  <c:y val="6.645815106445027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y = 42.835x
R² = 0.9951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AMX!$A$2:$A$7</c:f>
              <c:numCache>
                <c:formatCode>General</c:formatCode>
                <c:ptCount val="6"/>
                <c:pt idx="0">
                  <c:v>5.0000000000000001E-4</c:v>
                </c:pt>
                <c:pt idx="1">
                  <c:v>1E-3</c:v>
                </c:pt>
                <c:pt idx="2">
                  <c:v>1.5E-3</c:v>
                </c:pt>
                <c:pt idx="3">
                  <c:v>2E-3</c:v>
                </c:pt>
                <c:pt idx="4">
                  <c:v>2.5000000000000001E-3</c:v>
                </c:pt>
                <c:pt idx="5">
                  <c:v>3.0000000000000001E-3</c:v>
                </c:pt>
              </c:numCache>
            </c:numRef>
          </c:xVal>
          <c:yVal>
            <c:numRef>
              <c:f>AMX!$B$2:$B$7</c:f>
              <c:numCache>
                <c:formatCode>General</c:formatCode>
                <c:ptCount val="6"/>
                <c:pt idx="0">
                  <c:v>2.1999999999999999E-2</c:v>
                </c:pt>
                <c:pt idx="1">
                  <c:v>4.1000000000000002E-2</c:v>
                </c:pt>
                <c:pt idx="2">
                  <c:v>6.0999999999999999E-2</c:v>
                </c:pt>
                <c:pt idx="3">
                  <c:v>8.8999999999999996E-2</c:v>
                </c:pt>
                <c:pt idx="4">
                  <c:v>0.11</c:v>
                </c:pt>
                <c:pt idx="5">
                  <c:v>0.126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1DD-47C8-8DF0-1F0241906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7221888"/>
        <c:axId val="347222672"/>
      </c:scatterChart>
      <c:valAx>
        <c:axId val="347221888"/>
        <c:scaling>
          <c:orientation val="minMax"/>
          <c:max val="3.1000000000000008E-3"/>
          <c:min val="5.0000000000000012E-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 i="0" baseline="0">
                    <a:effectLst/>
                  </a:rPr>
                  <a:t>Concentration (mol/L)</a:t>
                </a:r>
                <a:endParaRPr lang="en-GB" sz="1200">
                  <a:effectLst/>
                </a:endParaRP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 w="22225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7222672"/>
        <c:crosses val="autoZero"/>
        <c:crossBetween val="midCat"/>
        <c:majorUnit val="5.0000000000000012E-4"/>
        <c:minorUnit val="1.0000000000000003E-4"/>
      </c:valAx>
      <c:valAx>
        <c:axId val="347222672"/>
        <c:scaling>
          <c:orientation val="minMax"/>
          <c:max val="0.13"/>
          <c:min val="2.0000000000000004E-2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Absorbance</a:t>
                </a:r>
                <a:endParaRPr lang="en-GB" sz="14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7777777777777779E-3"/>
              <c:y val="0.2627661125692621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2225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7221888"/>
        <c:crosses val="autoZero"/>
        <c:crossBetween val="midCat"/>
        <c:majorUnit val="2.0000000000000004E-2"/>
        <c:minorUnit val="4.000000000000001E-3"/>
      </c:valAx>
      <c:spPr>
        <a:ln w="22225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C8B7-E9CA-4AC7-A75B-4EF21E4A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Ogunlaja, Adeniyi (Dr) (Summerstrand Campus South)</dc:creator>
  <cp:keywords/>
  <dc:description/>
  <cp:lastModifiedBy>Ogunlaja, Adeniyi (Dr) (Summerstrand Campus South)</cp:lastModifiedBy>
  <cp:revision>2</cp:revision>
  <dcterms:created xsi:type="dcterms:W3CDTF">2018-11-08T15:23:00Z</dcterms:created>
  <dcterms:modified xsi:type="dcterms:W3CDTF">2018-11-08T15:23:00Z</dcterms:modified>
</cp:coreProperties>
</file>