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1FB88" w14:textId="64322461" w:rsidR="00A90C2D" w:rsidRPr="00696D70" w:rsidRDefault="00EE5F89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5B91" wp14:editId="66224091">
                <wp:simplePos x="0" y="0"/>
                <wp:positionH relativeFrom="column">
                  <wp:posOffset>6972300</wp:posOffset>
                </wp:positionH>
                <wp:positionV relativeFrom="paragraph">
                  <wp:posOffset>-685800</wp:posOffset>
                </wp:positionV>
                <wp:extent cx="27432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C1EA" w14:textId="290E502B" w:rsidR="00485614" w:rsidRPr="00EE5F89" w:rsidRDefault="0048561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5F89">
                              <w:rPr>
                                <w:b/>
                                <w:sz w:val="36"/>
                                <w:szCs w:val="36"/>
                              </w:rPr>
                              <w:t>Table 2, Perrin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49pt;margin-top:-54pt;width:3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" filled="f" stroked="f">
                <v:textbox>
                  <w:txbxContent>
                    <w:p w14:paraId="4C52C1EA" w14:textId="290E502B" w:rsidR="00485614" w:rsidRPr="00EE5F89" w:rsidRDefault="0048561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E5F89">
                        <w:rPr>
                          <w:b/>
                          <w:sz w:val="36"/>
                          <w:szCs w:val="36"/>
                        </w:rPr>
                        <w:t>Table 2, Perrin et 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E67">
        <w:rPr>
          <w:b/>
          <w:sz w:val="32"/>
          <w:szCs w:val="32"/>
          <w:lang w:val="en-US"/>
        </w:rPr>
        <w:t>Table 2</w:t>
      </w:r>
      <w:r w:rsidR="00ED3A5D" w:rsidRPr="00696D70">
        <w:rPr>
          <w:b/>
          <w:sz w:val="32"/>
          <w:szCs w:val="32"/>
          <w:lang w:val="en-US"/>
        </w:rPr>
        <w:t xml:space="preserve">: </w:t>
      </w:r>
      <w:r w:rsidR="00331E67">
        <w:rPr>
          <w:b/>
          <w:sz w:val="32"/>
          <w:szCs w:val="32"/>
          <w:lang w:val="en-US"/>
        </w:rPr>
        <w:t xml:space="preserve">Scaling relations between </w:t>
      </w:r>
      <w:r w:rsidR="007C2B63">
        <w:rPr>
          <w:b/>
          <w:sz w:val="32"/>
          <w:szCs w:val="32"/>
          <w:lang w:val="en-US"/>
        </w:rPr>
        <w:t>parent</w:t>
      </w:r>
      <w:r w:rsidR="00CB56AC">
        <w:rPr>
          <w:b/>
          <w:sz w:val="32"/>
          <w:szCs w:val="32"/>
          <w:lang w:val="en-US"/>
        </w:rPr>
        <w:t xml:space="preserve"> </w:t>
      </w:r>
      <w:r w:rsidR="00331E67">
        <w:rPr>
          <w:b/>
          <w:sz w:val="32"/>
          <w:szCs w:val="32"/>
          <w:lang w:val="en-US"/>
        </w:rPr>
        <w:t>fault</w:t>
      </w:r>
      <w:r w:rsidR="00FF1A8E">
        <w:rPr>
          <w:b/>
          <w:sz w:val="32"/>
          <w:szCs w:val="32"/>
          <w:lang w:val="en-US"/>
        </w:rPr>
        <w:t>s</w:t>
      </w:r>
      <w:r w:rsidR="00331E67">
        <w:rPr>
          <w:b/>
          <w:sz w:val="32"/>
          <w:szCs w:val="32"/>
          <w:lang w:val="en-US"/>
        </w:rPr>
        <w:t xml:space="preserve"> and </w:t>
      </w:r>
      <w:r w:rsidR="007C2B63">
        <w:rPr>
          <w:b/>
          <w:sz w:val="32"/>
          <w:szCs w:val="32"/>
          <w:lang w:val="en-US"/>
        </w:rPr>
        <w:t>tip splay</w:t>
      </w:r>
      <w:r w:rsidR="00331E67">
        <w:rPr>
          <w:b/>
          <w:sz w:val="32"/>
          <w:szCs w:val="32"/>
          <w:lang w:val="en-US"/>
        </w:rPr>
        <w:t xml:space="preserve"> networks</w:t>
      </w:r>
    </w:p>
    <w:p w14:paraId="09EBB4B0" w14:textId="77777777" w:rsidR="00F01791" w:rsidRPr="00CB734F" w:rsidRDefault="00F01791">
      <w:pPr>
        <w:rPr>
          <w:lang w:val="en-US"/>
        </w:rPr>
      </w:pPr>
    </w:p>
    <w:p w14:paraId="1D67741E" w14:textId="77777777" w:rsidR="00EC445A" w:rsidRDefault="00EC445A" w:rsidP="005C46BC">
      <w:pPr>
        <w:jc w:val="center"/>
        <w:rPr>
          <w:sz w:val="22"/>
          <w:szCs w:val="22"/>
          <w:lang w:val="en-US"/>
        </w:rPr>
        <w:sectPr w:rsidR="00EC445A" w:rsidSect="00980143">
          <w:footerReference w:type="even" r:id="rId9"/>
          <w:footerReference w:type="default" r:id="rId10"/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1276"/>
        <w:gridCol w:w="1701"/>
        <w:gridCol w:w="1842"/>
        <w:gridCol w:w="1843"/>
        <w:gridCol w:w="1843"/>
        <w:gridCol w:w="3402"/>
      </w:tblGrid>
      <w:tr w:rsidR="00DA5561" w14:paraId="18FB5923" w14:textId="3964A434" w:rsidTr="00DA5561">
        <w:tc>
          <w:tcPr>
            <w:tcW w:w="709" w:type="dxa"/>
          </w:tcPr>
          <w:p w14:paraId="15BB011A" w14:textId="2EA4CEB0" w:rsidR="00DA5561" w:rsidRPr="009264E8" w:rsidRDefault="00DA5561" w:rsidP="00CB734F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Fault N</w:t>
            </w:r>
            <w:r w:rsidR="00CB734F">
              <w:rPr>
                <w:b/>
                <w:sz w:val="20"/>
                <w:szCs w:val="20"/>
                <w:lang w:val="en-US"/>
              </w:rPr>
              <w:t>o.</w:t>
            </w:r>
          </w:p>
        </w:tc>
        <w:tc>
          <w:tcPr>
            <w:tcW w:w="1559" w:type="dxa"/>
          </w:tcPr>
          <w:p w14:paraId="327F8C65" w14:textId="3FC70AFA" w:rsidR="00DA5561" w:rsidRPr="009264E8" w:rsidRDefault="00DA5561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9264E8">
              <w:rPr>
                <w:b/>
                <w:sz w:val="20"/>
                <w:szCs w:val="20"/>
                <w:lang w:val="en-US"/>
              </w:rPr>
              <w:t>Fault Name</w:t>
            </w:r>
          </w:p>
        </w:tc>
        <w:tc>
          <w:tcPr>
            <w:tcW w:w="851" w:type="dxa"/>
          </w:tcPr>
          <w:p w14:paraId="5E2C627C" w14:textId="4327DE51" w:rsidR="00DA5561" w:rsidRPr="009264E8" w:rsidRDefault="00DA5561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9264E8">
              <w:rPr>
                <w:b/>
                <w:sz w:val="20"/>
                <w:szCs w:val="20"/>
                <w:lang w:val="en-US"/>
              </w:rPr>
              <w:t>Fault slip mode</w:t>
            </w:r>
          </w:p>
        </w:tc>
        <w:tc>
          <w:tcPr>
            <w:tcW w:w="1276" w:type="dxa"/>
          </w:tcPr>
          <w:p w14:paraId="50D9912F" w14:textId="0B6C5A65" w:rsidR="00DA5561" w:rsidRPr="009264E8" w:rsidRDefault="00DA5561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9264E8">
              <w:rPr>
                <w:b/>
                <w:sz w:val="20"/>
                <w:szCs w:val="20"/>
                <w:lang w:val="en-US"/>
              </w:rPr>
              <w:t>Fault length (or width in a few cases) (km)</w:t>
            </w:r>
          </w:p>
        </w:tc>
        <w:tc>
          <w:tcPr>
            <w:tcW w:w="1701" w:type="dxa"/>
          </w:tcPr>
          <w:p w14:paraId="0E5FCBF2" w14:textId="3F67430D" w:rsidR="00DA5561" w:rsidRPr="009264E8" w:rsidRDefault="00DA5561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9264E8">
              <w:rPr>
                <w:b/>
                <w:sz w:val="20"/>
                <w:szCs w:val="20"/>
                <w:lang w:val="en-US"/>
              </w:rPr>
              <w:t xml:space="preserve">Length of the </w:t>
            </w:r>
            <w:r w:rsidR="00BD6043">
              <w:rPr>
                <w:b/>
                <w:sz w:val="20"/>
                <w:szCs w:val="20"/>
                <w:lang w:val="en-US"/>
              </w:rPr>
              <w:t>tip splay</w:t>
            </w:r>
            <w:r w:rsidRPr="009264E8">
              <w:rPr>
                <w:b/>
                <w:sz w:val="20"/>
                <w:szCs w:val="20"/>
                <w:lang w:val="en-US"/>
              </w:rPr>
              <w:t xml:space="preserve"> network (km)</w:t>
            </w:r>
          </w:p>
        </w:tc>
        <w:tc>
          <w:tcPr>
            <w:tcW w:w="1842" w:type="dxa"/>
          </w:tcPr>
          <w:p w14:paraId="6435F6D5" w14:textId="1D067779" w:rsidR="00DA5561" w:rsidRPr="009264E8" w:rsidRDefault="00DA5561" w:rsidP="009F4577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9264E8">
              <w:rPr>
                <w:b/>
                <w:sz w:val="20"/>
                <w:szCs w:val="20"/>
                <w:lang w:val="en-US"/>
              </w:rPr>
              <w:t xml:space="preserve">Map-view* width of the </w:t>
            </w:r>
            <w:r w:rsidR="00BD6043">
              <w:rPr>
                <w:b/>
                <w:sz w:val="20"/>
                <w:szCs w:val="20"/>
                <w:lang w:val="en-US"/>
              </w:rPr>
              <w:t xml:space="preserve">tip splay </w:t>
            </w:r>
            <w:r w:rsidRPr="009264E8">
              <w:rPr>
                <w:b/>
                <w:sz w:val="20"/>
                <w:szCs w:val="20"/>
                <w:lang w:val="en-US"/>
              </w:rPr>
              <w:t>network (km)</w:t>
            </w:r>
          </w:p>
        </w:tc>
        <w:tc>
          <w:tcPr>
            <w:tcW w:w="1843" w:type="dxa"/>
          </w:tcPr>
          <w:p w14:paraId="75D5E045" w14:textId="50E0C816" w:rsidR="00DA5561" w:rsidRPr="009264E8" w:rsidRDefault="00DA5561" w:rsidP="002876B3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9264E8">
              <w:rPr>
                <w:b/>
                <w:sz w:val="20"/>
                <w:szCs w:val="20"/>
                <w:lang w:val="en-US"/>
              </w:rPr>
              <w:t xml:space="preserve">Maximum angle of the splay faults to the </w:t>
            </w:r>
            <w:r w:rsidR="002876B3">
              <w:rPr>
                <w:b/>
                <w:sz w:val="20"/>
                <w:szCs w:val="20"/>
                <w:lang w:val="en-US"/>
              </w:rPr>
              <w:t>parent</w:t>
            </w:r>
            <w:r w:rsidRPr="009264E8">
              <w:rPr>
                <w:b/>
                <w:sz w:val="20"/>
                <w:szCs w:val="20"/>
                <w:lang w:val="en-US"/>
              </w:rPr>
              <w:t xml:space="preserve"> fault (°)</w:t>
            </w:r>
          </w:p>
        </w:tc>
        <w:tc>
          <w:tcPr>
            <w:tcW w:w="1843" w:type="dxa"/>
          </w:tcPr>
          <w:p w14:paraId="5ACE79A9" w14:textId="017F3820" w:rsidR="00DA5561" w:rsidRPr="009264E8" w:rsidRDefault="00DA5561" w:rsidP="002876B3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9264E8">
              <w:rPr>
                <w:b/>
                <w:sz w:val="20"/>
                <w:szCs w:val="20"/>
                <w:lang w:val="en-US"/>
              </w:rPr>
              <w:t xml:space="preserve">Mean angle of the splay faults to the </w:t>
            </w:r>
            <w:r w:rsidR="002876B3">
              <w:rPr>
                <w:b/>
                <w:sz w:val="20"/>
                <w:szCs w:val="20"/>
                <w:lang w:val="en-US"/>
              </w:rPr>
              <w:t>parent</w:t>
            </w:r>
            <w:r w:rsidRPr="009264E8">
              <w:rPr>
                <w:b/>
                <w:sz w:val="20"/>
                <w:szCs w:val="20"/>
                <w:lang w:val="en-US"/>
              </w:rPr>
              <w:t xml:space="preserve"> fault (°) </w:t>
            </w:r>
          </w:p>
        </w:tc>
        <w:tc>
          <w:tcPr>
            <w:tcW w:w="3402" w:type="dxa"/>
          </w:tcPr>
          <w:p w14:paraId="64FC22C6" w14:textId="768E3CFB" w:rsidR="00DA5561" w:rsidRPr="009264E8" w:rsidRDefault="00DA5561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9264E8">
              <w:rPr>
                <w:b/>
                <w:sz w:val="20"/>
                <w:szCs w:val="20"/>
                <w:lang w:val="en-US"/>
              </w:rPr>
              <w:t>References</w:t>
            </w:r>
          </w:p>
        </w:tc>
      </w:tr>
      <w:tr w:rsidR="00DA5561" w14:paraId="2C0F1E54" w14:textId="77777777" w:rsidTr="00DA5561">
        <w:tc>
          <w:tcPr>
            <w:tcW w:w="709" w:type="dxa"/>
          </w:tcPr>
          <w:p w14:paraId="44021FCC" w14:textId="0039074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2855C4B3" w14:textId="222C9CC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Alligerville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7D67D2ED" w14:textId="275730A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1313CE61" w14:textId="56F3295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0,044</w:t>
            </w:r>
          </w:p>
        </w:tc>
        <w:tc>
          <w:tcPr>
            <w:tcW w:w="1701" w:type="dxa"/>
          </w:tcPr>
          <w:p w14:paraId="79E11183" w14:textId="13A708F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0,021</w:t>
            </w:r>
          </w:p>
        </w:tc>
        <w:tc>
          <w:tcPr>
            <w:tcW w:w="1842" w:type="dxa"/>
          </w:tcPr>
          <w:p w14:paraId="4A69CA39" w14:textId="0A0F04B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0,0025</w:t>
            </w:r>
          </w:p>
        </w:tc>
        <w:tc>
          <w:tcPr>
            <w:tcW w:w="1843" w:type="dxa"/>
          </w:tcPr>
          <w:p w14:paraId="577FBB75" w14:textId="58AAC0B5" w:rsidR="00DA5561" w:rsidRPr="009264E8" w:rsidRDefault="00DA5561" w:rsidP="00CF54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~7 </w:t>
            </w:r>
            <w:r>
              <w:rPr>
                <w:sz w:val="20"/>
                <w:szCs w:val="20"/>
                <w:lang w:val="en-US"/>
              </w:rPr>
              <w:t xml:space="preserve">(for most recent </w:t>
            </w:r>
            <w:r w:rsidRPr="009264E8">
              <w:rPr>
                <w:sz w:val="20"/>
                <w:szCs w:val="20"/>
                <w:lang w:val="en-US"/>
              </w:rPr>
              <w:t>generation)</w:t>
            </w:r>
          </w:p>
        </w:tc>
        <w:tc>
          <w:tcPr>
            <w:tcW w:w="1843" w:type="dxa"/>
          </w:tcPr>
          <w:p w14:paraId="5A474DAC" w14:textId="11F099F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</w:t>
            </w:r>
          </w:p>
        </w:tc>
        <w:tc>
          <w:tcPr>
            <w:tcW w:w="3402" w:type="dxa"/>
          </w:tcPr>
          <w:p w14:paraId="7C7B94F9" w14:textId="564E831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Vermilye and Scholz, 1998 (Fig. 8)</w:t>
            </w:r>
          </w:p>
        </w:tc>
      </w:tr>
      <w:tr w:rsidR="00DA5561" w14:paraId="383CD21E" w14:textId="37CEF580" w:rsidTr="00DA5561">
        <w:tc>
          <w:tcPr>
            <w:tcW w:w="709" w:type="dxa"/>
          </w:tcPr>
          <w:p w14:paraId="02162116" w14:textId="26D904D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7D9742D7" w14:textId="0898CBD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Altyn Tagh</w:t>
            </w:r>
            <w:r w:rsidR="002876B3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37C5A1B0" w14:textId="582B998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321B4D69" w14:textId="1BAD780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701" w:type="dxa"/>
          </w:tcPr>
          <w:p w14:paraId="37BBEAF7" w14:textId="3E0C8CE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740</w:t>
            </w:r>
          </w:p>
        </w:tc>
        <w:tc>
          <w:tcPr>
            <w:tcW w:w="1842" w:type="dxa"/>
          </w:tcPr>
          <w:p w14:paraId="3358960E" w14:textId="127426A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843" w:type="dxa"/>
          </w:tcPr>
          <w:p w14:paraId="75415E61" w14:textId="796E92C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</w:tcPr>
          <w:p w14:paraId="28082775" w14:textId="2202099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402" w:type="dxa"/>
          </w:tcPr>
          <w:p w14:paraId="19ACF4BD" w14:textId="4337380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Meyer et al., 1998 (Fig.1)</w:t>
            </w:r>
          </w:p>
        </w:tc>
      </w:tr>
      <w:tr w:rsidR="00DA5561" w:rsidRPr="00CB734F" w14:paraId="3148C003" w14:textId="5FB47F25" w:rsidTr="00DA5561">
        <w:tc>
          <w:tcPr>
            <w:tcW w:w="709" w:type="dxa"/>
          </w:tcPr>
          <w:p w14:paraId="6E9A671E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65F8D69F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0FFB936" w14:textId="554F088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Analogue faults</w:t>
            </w:r>
          </w:p>
        </w:tc>
        <w:tc>
          <w:tcPr>
            <w:tcW w:w="851" w:type="dxa"/>
          </w:tcPr>
          <w:p w14:paraId="0CA8BC78" w14:textId="37D8221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223AEAE8" w14:textId="7A22F49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~0.0001</w:t>
            </w:r>
          </w:p>
        </w:tc>
        <w:tc>
          <w:tcPr>
            <w:tcW w:w="1701" w:type="dxa"/>
          </w:tcPr>
          <w:p w14:paraId="19F45913" w14:textId="09F8A84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Left: 0.000035</w:t>
            </w:r>
          </w:p>
          <w:p w14:paraId="78186D2C" w14:textId="4E871D2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Right: 0.000056</w:t>
            </w:r>
          </w:p>
        </w:tc>
        <w:tc>
          <w:tcPr>
            <w:tcW w:w="1842" w:type="dxa"/>
          </w:tcPr>
          <w:p w14:paraId="04236A21" w14:textId="77777777" w:rsidR="00DA5561" w:rsidRPr="009264E8" w:rsidRDefault="00DA5561" w:rsidP="001C1D3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0.000008</w:t>
            </w:r>
          </w:p>
          <w:p w14:paraId="4501D1DF" w14:textId="5DAB1448" w:rsidR="00DA5561" w:rsidRPr="009264E8" w:rsidRDefault="00DA5561" w:rsidP="001C1D3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0.00001</w:t>
            </w:r>
          </w:p>
        </w:tc>
        <w:tc>
          <w:tcPr>
            <w:tcW w:w="1843" w:type="dxa"/>
          </w:tcPr>
          <w:p w14:paraId="301EC504" w14:textId="78AFC81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</w:t>
            </w:r>
          </w:p>
          <w:p w14:paraId="7D364A5A" w14:textId="6969FA1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~25</w:t>
            </w:r>
          </w:p>
        </w:tc>
        <w:tc>
          <w:tcPr>
            <w:tcW w:w="1843" w:type="dxa"/>
          </w:tcPr>
          <w:p w14:paraId="167AC177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?</w:t>
            </w:r>
          </w:p>
          <w:p w14:paraId="19869F67" w14:textId="42E946F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02" w:type="dxa"/>
          </w:tcPr>
          <w:p w14:paraId="2A7EA129" w14:textId="0A9B6E1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Mansfield and Cartwright, 2001 (Fig. 11f-g)</w:t>
            </w:r>
          </w:p>
        </w:tc>
      </w:tr>
      <w:tr w:rsidR="00DA5561" w14:paraId="1B68F245" w14:textId="77777777" w:rsidTr="00DA5561">
        <w:tc>
          <w:tcPr>
            <w:tcW w:w="709" w:type="dxa"/>
          </w:tcPr>
          <w:p w14:paraId="5F1A4436" w14:textId="3472E40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8105CEC" w14:textId="27B3833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Bogd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0D460C16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SS LL </w:t>
            </w:r>
          </w:p>
          <w:p w14:paraId="06C9C0E0" w14:textId="737D516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&amp; R</w:t>
            </w:r>
            <w:r w:rsidR="002876B3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</w:tcPr>
          <w:p w14:paraId="04F8FD83" w14:textId="4E4CAE98" w:rsidR="00DA5561" w:rsidRPr="009264E8" w:rsidRDefault="00DA5561" w:rsidP="004C151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~430</w:t>
            </w:r>
          </w:p>
        </w:tc>
        <w:tc>
          <w:tcPr>
            <w:tcW w:w="1701" w:type="dxa"/>
          </w:tcPr>
          <w:p w14:paraId="5F223D8A" w14:textId="59C4B04C" w:rsidR="00DA5561" w:rsidRPr="009264E8" w:rsidRDefault="00DA5561" w:rsidP="006936E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~240</w:t>
            </w:r>
          </w:p>
        </w:tc>
        <w:tc>
          <w:tcPr>
            <w:tcW w:w="1842" w:type="dxa"/>
          </w:tcPr>
          <w:p w14:paraId="3F9FC4C1" w14:textId="10BD90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~75</w:t>
            </w:r>
          </w:p>
        </w:tc>
        <w:tc>
          <w:tcPr>
            <w:tcW w:w="1843" w:type="dxa"/>
          </w:tcPr>
          <w:p w14:paraId="6F4BEFFC" w14:textId="3D4E8E2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843" w:type="dxa"/>
          </w:tcPr>
          <w:p w14:paraId="4F428883" w14:textId="2CEF32E0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467BEE12" w14:textId="78DF2A3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Tapponnier and Molnar, 1979 (Fig. 6)</w:t>
            </w:r>
          </w:p>
        </w:tc>
      </w:tr>
      <w:tr w:rsidR="00DA5561" w14:paraId="083F06AB" w14:textId="77777777" w:rsidTr="00DA5561">
        <w:tc>
          <w:tcPr>
            <w:tcW w:w="709" w:type="dxa"/>
          </w:tcPr>
          <w:p w14:paraId="5C27AA96" w14:textId="36A2E3B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3787F95" w14:textId="3F2F017D" w:rsidR="00DA5561" w:rsidRPr="009264E8" w:rsidRDefault="002876B3" w:rsidP="002876B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Bolfin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70C36A71" w14:textId="11F216C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13D75FDF" w14:textId="0F5F9F64" w:rsidR="00DA5561" w:rsidRPr="009264E8" w:rsidRDefault="00DA5561" w:rsidP="004C151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&gt; 19</w:t>
            </w:r>
          </w:p>
        </w:tc>
        <w:tc>
          <w:tcPr>
            <w:tcW w:w="1701" w:type="dxa"/>
          </w:tcPr>
          <w:p w14:paraId="4885BA5D" w14:textId="203EB04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&gt; 9 </w:t>
            </w:r>
          </w:p>
        </w:tc>
        <w:tc>
          <w:tcPr>
            <w:tcW w:w="1842" w:type="dxa"/>
          </w:tcPr>
          <w:p w14:paraId="4D4B5F25" w14:textId="74A6154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~4.6</w:t>
            </w:r>
          </w:p>
        </w:tc>
        <w:tc>
          <w:tcPr>
            <w:tcW w:w="1843" w:type="dxa"/>
          </w:tcPr>
          <w:p w14:paraId="5F8DF4B8" w14:textId="347486C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~55</w:t>
            </w:r>
          </w:p>
        </w:tc>
        <w:tc>
          <w:tcPr>
            <w:tcW w:w="1843" w:type="dxa"/>
          </w:tcPr>
          <w:p w14:paraId="63F20E5C" w14:textId="3A94F219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~25</w:t>
            </w:r>
          </w:p>
        </w:tc>
        <w:tc>
          <w:tcPr>
            <w:tcW w:w="3402" w:type="dxa"/>
          </w:tcPr>
          <w:p w14:paraId="581DBF41" w14:textId="6B2F803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Cembrano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et al., 2005 (Fig.3)</w:t>
            </w:r>
          </w:p>
        </w:tc>
      </w:tr>
      <w:tr w:rsidR="00DA5561" w14:paraId="35C175DF" w14:textId="77777777" w:rsidTr="00DA5561">
        <w:tc>
          <w:tcPr>
            <w:tcW w:w="709" w:type="dxa"/>
          </w:tcPr>
          <w:p w14:paraId="2E94D1FC" w14:textId="2207CBE3" w:rsidR="00DA5561" w:rsidRPr="009264E8" w:rsidRDefault="00DA5561" w:rsidP="00830C3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14:paraId="7833B11C" w14:textId="4B5053C4" w:rsidR="00DA5561" w:rsidRPr="009264E8" w:rsidRDefault="00DA5561" w:rsidP="00830C3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Camp Rock-Emerson fault zone (including Homestead and Johnson Valley </w:t>
            </w:r>
            <w:r>
              <w:rPr>
                <w:sz w:val="20"/>
                <w:szCs w:val="20"/>
                <w:lang w:val="en-US"/>
              </w:rPr>
              <w:t>faults</w:t>
            </w:r>
            <w:r w:rsidRPr="009264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14:paraId="721E678B" w14:textId="039666B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276" w:type="dxa"/>
          </w:tcPr>
          <w:p w14:paraId="137740C0" w14:textId="32ABFAEE" w:rsidR="00DA5561" w:rsidRPr="009264E8" w:rsidRDefault="00DA5561" w:rsidP="004C151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~95</w:t>
            </w:r>
          </w:p>
        </w:tc>
        <w:tc>
          <w:tcPr>
            <w:tcW w:w="1701" w:type="dxa"/>
          </w:tcPr>
          <w:p w14:paraId="60FBC5F6" w14:textId="75797EA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~50</w:t>
            </w:r>
          </w:p>
        </w:tc>
        <w:tc>
          <w:tcPr>
            <w:tcW w:w="1842" w:type="dxa"/>
          </w:tcPr>
          <w:p w14:paraId="35E661C2" w14:textId="3C02868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1843" w:type="dxa"/>
          </w:tcPr>
          <w:p w14:paraId="62411ED3" w14:textId="744FB50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843" w:type="dxa"/>
          </w:tcPr>
          <w:p w14:paraId="77486C33" w14:textId="63635BEC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306BE1C8" w14:textId="75CA4FF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Jachens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et al., 2002 (Fig. 1)</w:t>
            </w:r>
          </w:p>
        </w:tc>
      </w:tr>
      <w:tr w:rsidR="00DA5561" w14:paraId="4F327424" w14:textId="77777777" w:rsidTr="00DA5561">
        <w:tc>
          <w:tcPr>
            <w:tcW w:w="709" w:type="dxa"/>
          </w:tcPr>
          <w:p w14:paraId="5D11EABE" w14:textId="2025917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14:paraId="799C2D39" w14:textId="1BDFA46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Cape Egmont fault</w:t>
            </w:r>
          </w:p>
        </w:tc>
        <w:tc>
          <w:tcPr>
            <w:tcW w:w="851" w:type="dxa"/>
          </w:tcPr>
          <w:p w14:paraId="777FD24C" w14:textId="0231D30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7DB3B1B4" w14:textId="4C79904E" w:rsidR="00DA5561" w:rsidRPr="009264E8" w:rsidRDefault="00DA5561" w:rsidP="004C151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~70</w:t>
            </w:r>
          </w:p>
        </w:tc>
        <w:tc>
          <w:tcPr>
            <w:tcW w:w="1701" w:type="dxa"/>
          </w:tcPr>
          <w:p w14:paraId="71B54F95" w14:textId="08B627F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~38</w:t>
            </w:r>
          </w:p>
        </w:tc>
        <w:tc>
          <w:tcPr>
            <w:tcW w:w="1842" w:type="dxa"/>
          </w:tcPr>
          <w:p w14:paraId="53BAF772" w14:textId="32133AC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~17</w:t>
            </w:r>
          </w:p>
        </w:tc>
        <w:tc>
          <w:tcPr>
            <w:tcW w:w="1843" w:type="dxa"/>
          </w:tcPr>
          <w:p w14:paraId="46B3B50B" w14:textId="7C4A42B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~45</w:t>
            </w:r>
          </w:p>
        </w:tc>
        <w:tc>
          <w:tcPr>
            <w:tcW w:w="1843" w:type="dxa"/>
          </w:tcPr>
          <w:p w14:paraId="77353EA9" w14:textId="16122B1C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50B1C72A" w14:textId="7E3398E7" w:rsidR="00DA5561" w:rsidRPr="00CB734F" w:rsidRDefault="00DA5561" w:rsidP="00050AAC">
            <w:pPr>
              <w:spacing w:after="120"/>
              <w:jc w:val="center"/>
              <w:rPr>
                <w:sz w:val="20"/>
                <w:szCs w:val="20"/>
              </w:rPr>
            </w:pPr>
            <w:r w:rsidRPr="00CB734F">
              <w:rPr>
                <w:sz w:val="20"/>
                <w:szCs w:val="20"/>
              </w:rPr>
              <w:t xml:space="preserve">Nicol et </w:t>
            </w:r>
            <w:proofErr w:type="gramStart"/>
            <w:r w:rsidRPr="00CB734F">
              <w:rPr>
                <w:sz w:val="20"/>
                <w:szCs w:val="20"/>
              </w:rPr>
              <w:t>al.,</w:t>
            </w:r>
            <w:proofErr w:type="gramEnd"/>
            <w:r w:rsidRPr="00CB734F">
              <w:rPr>
                <w:sz w:val="20"/>
                <w:szCs w:val="20"/>
              </w:rPr>
              <w:t xml:space="preserve"> 2005 (Fig. 3a)</w:t>
            </w:r>
          </w:p>
        </w:tc>
      </w:tr>
      <w:tr w:rsidR="00DA5561" w:rsidRPr="00CB734F" w14:paraId="33B74FBC" w14:textId="77777777" w:rsidTr="00DA5561">
        <w:tc>
          <w:tcPr>
            <w:tcW w:w="709" w:type="dxa"/>
          </w:tcPr>
          <w:p w14:paraId="00FE13A1" w14:textId="5C4A5F71" w:rsidR="00DA5561" w:rsidRPr="009264E8" w:rsidRDefault="00DA5561" w:rsidP="00CA18D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14:paraId="39D74C89" w14:textId="7C056206" w:rsidR="00DA5561" w:rsidRPr="009264E8" w:rsidRDefault="00DA5561" w:rsidP="00CA18D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Cheliff fault</w:t>
            </w:r>
          </w:p>
          <w:p w14:paraId="5DF0E353" w14:textId="0FC2A8E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D4DD751" w14:textId="21BA59DE" w:rsidR="00DA5561" w:rsidRPr="009264E8" w:rsidRDefault="00DA5561" w:rsidP="00AA04B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RE </w:t>
            </w:r>
          </w:p>
        </w:tc>
        <w:tc>
          <w:tcPr>
            <w:tcW w:w="1276" w:type="dxa"/>
          </w:tcPr>
          <w:p w14:paraId="2E4A3B68" w14:textId="07070C26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~91 (Boudiaf et al., 1998)</w:t>
            </w:r>
          </w:p>
        </w:tc>
        <w:tc>
          <w:tcPr>
            <w:tcW w:w="1701" w:type="dxa"/>
          </w:tcPr>
          <w:p w14:paraId="5FC440F5" w14:textId="5093CA3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~25</w:t>
            </w:r>
          </w:p>
          <w:p w14:paraId="70D5DDB8" w14:textId="50C1625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7A7CCFC" w14:textId="53C53A1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~13</w:t>
            </w:r>
          </w:p>
        </w:tc>
        <w:tc>
          <w:tcPr>
            <w:tcW w:w="1843" w:type="dxa"/>
          </w:tcPr>
          <w:p w14:paraId="5B6FC42D" w14:textId="676D9D6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843" w:type="dxa"/>
          </w:tcPr>
          <w:p w14:paraId="69C5CA03" w14:textId="00B47F91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3402" w:type="dxa"/>
          </w:tcPr>
          <w:p w14:paraId="63E3C2DC" w14:textId="3A3EFA3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Yielding et al., 1989 (Fig.1b)</w:t>
            </w:r>
          </w:p>
        </w:tc>
      </w:tr>
      <w:tr w:rsidR="00DA5561" w14:paraId="51C1585F" w14:textId="77777777" w:rsidTr="00DA5561">
        <w:tc>
          <w:tcPr>
            <w:tcW w:w="709" w:type="dxa"/>
          </w:tcPr>
          <w:p w14:paraId="782BDE9B" w14:textId="2C3C4A6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14:paraId="227C691F" w14:textId="76A0C43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Chelungpu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19D9823C" w14:textId="0B3F2A6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RE</w:t>
            </w:r>
          </w:p>
        </w:tc>
        <w:tc>
          <w:tcPr>
            <w:tcW w:w="1276" w:type="dxa"/>
          </w:tcPr>
          <w:p w14:paraId="48660592" w14:textId="11499652" w:rsidR="00DA5561" w:rsidRPr="009264E8" w:rsidRDefault="00DA5561" w:rsidP="004C151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~80</w:t>
            </w:r>
          </w:p>
        </w:tc>
        <w:tc>
          <w:tcPr>
            <w:tcW w:w="1701" w:type="dxa"/>
          </w:tcPr>
          <w:p w14:paraId="0CF0A0B6" w14:textId="06588EC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10 to 37 (unclear)</w:t>
            </w:r>
          </w:p>
        </w:tc>
        <w:tc>
          <w:tcPr>
            <w:tcW w:w="1842" w:type="dxa"/>
          </w:tcPr>
          <w:p w14:paraId="06522476" w14:textId="71C3371D" w:rsidR="00DA5561" w:rsidRPr="009264E8" w:rsidRDefault="00DA5561" w:rsidP="001648B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7 to 17</w:t>
            </w:r>
          </w:p>
        </w:tc>
        <w:tc>
          <w:tcPr>
            <w:tcW w:w="1843" w:type="dxa"/>
          </w:tcPr>
          <w:p w14:paraId="184D7B24" w14:textId="03819B5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 45</w:t>
            </w:r>
          </w:p>
        </w:tc>
        <w:tc>
          <w:tcPr>
            <w:tcW w:w="1843" w:type="dxa"/>
          </w:tcPr>
          <w:p w14:paraId="6F79D75C" w14:textId="7C2AD164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3402" w:type="dxa"/>
          </w:tcPr>
          <w:p w14:paraId="3047E8F9" w14:textId="2168BD24" w:rsidR="00DA5561" w:rsidRPr="00CB734F" w:rsidRDefault="00DA5561" w:rsidP="00050AA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CB734F">
              <w:rPr>
                <w:sz w:val="20"/>
                <w:szCs w:val="20"/>
              </w:rPr>
              <w:t>Dominguez</w:t>
            </w:r>
            <w:proofErr w:type="spellEnd"/>
            <w:r w:rsidRPr="00CB734F">
              <w:rPr>
                <w:sz w:val="20"/>
                <w:szCs w:val="20"/>
              </w:rPr>
              <w:t xml:space="preserve"> et </w:t>
            </w:r>
            <w:proofErr w:type="gramStart"/>
            <w:r w:rsidRPr="00CB734F">
              <w:rPr>
                <w:sz w:val="20"/>
                <w:szCs w:val="20"/>
              </w:rPr>
              <w:t>al.,</w:t>
            </w:r>
            <w:proofErr w:type="gramEnd"/>
            <w:r w:rsidRPr="00CB734F">
              <w:rPr>
                <w:sz w:val="20"/>
                <w:szCs w:val="20"/>
              </w:rPr>
              <w:t xml:space="preserve"> 2003 (Fig. 5a)</w:t>
            </w:r>
          </w:p>
        </w:tc>
      </w:tr>
      <w:tr w:rsidR="00DA5561" w14:paraId="5189D01D" w14:textId="56F958E4" w:rsidTr="00DA5561">
        <w:tc>
          <w:tcPr>
            <w:tcW w:w="709" w:type="dxa"/>
          </w:tcPr>
          <w:p w14:paraId="1FFEBE17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0ACF3114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99A92FF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A062C75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9E46CF4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  <w:p w14:paraId="7B34AE6B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F1440A6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7246479" w14:textId="3700EAD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14:paraId="4EFB13AC" w14:textId="04C2B2E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 xml:space="preserve">David’s Way faults, </w:t>
            </w:r>
            <w:r w:rsidRPr="009264E8">
              <w:rPr>
                <w:sz w:val="20"/>
                <w:szCs w:val="20"/>
                <w:lang w:val="en-US"/>
              </w:rPr>
              <w:lastRenderedPageBreak/>
              <w:t xml:space="preserve">observed in cross-section along fault width </w:t>
            </w:r>
          </w:p>
        </w:tc>
        <w:tc>
          <w:tcPr>
            <w:tcW w:w="851" w:type="dxa"/>
          </w:tcPr>
          <w:p w14:paraId="41D0A3E7" w14:textId="55C7C3E1" w:rsidR="00DA5561" w:rsidRPr="009264E8" w:rsidRDefault="00DA5561" w:rsidP="00C3732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1276" w:type="dxa"/>
          </w:tcPr>
          <w:p w14:paraId="131F3A56" w14:textId="77777777" w:rsidR="00F377E9" w:rsidRDefault="00DA5561" w:rsidP="008850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 W1</w:t>
            </w:r>
          </w:p>
          <w:p w14:paraId="676F35DD" w14:textId="300DBAC7" w:rsidR="00DA5561" w:rsidRPr="009264E8" w:rsidRDefault="00DA5561" w:rsidP="008850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~ 0.0046 (Fig.1a)</w:t>
            </w:r>
          </w:p>
          <w:p w14:paraId="0848DA4F" w14:textId="77777777" w:rsidR="00DA5561" w:rsidRDefault="00DA5561" w:rsidP="004C151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E164B06" w14:textId="6DEBB3DB" w:rsidR="00DA5561" w:rsidRDefault="00DA5561" w:rsidP="00F320A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W2 ~0.0008 (Fig. 1b)</w:t>
            </w:r>
          </w:p>
          <w:p w14:paraId="065FCA61" w14:textId="77777777" w:rsidR="00DA5561" w:rsidRPr="00F320A2" w:rsidRDefault="00DA5561" w:rsidP="00F320A2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  <w:p w14:paraId="7DD924D7" w14:textId="4F53FF6F" w:rsidR="00DA5561" w:rsidRPr="009264E8" w:rsidRDefault="00DA5561" w:rsidP="004C151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W3 ~0.0065 (Fig. 1c)</w:t>
            </w:r>
          </w:p>
        </w:tc>
        <w:tc>
          <w:tcPr>
            <w:tcW w:w="1701" w:type="dxa"/>
          </w:tcPr>
          <w:p w14:paraId="49B8A2FB" w14:textId="647B274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 xml:space="preserve">0.0012 (same for </w:t>
            </w:r>
            <w:r w:rsidRPr="009264E8">
              <w:rPr>
                <w:sz w:val="20"/>
                <w:szCs w:val="20"/>
                <w:lang w:val="en-US"/>
              </w:rPr>
              <w:lastRenderedPageBreak/>
              <w:t>up and down)</w:t>
            </w:r>
          </w:p>
          <w:p w14:paraId="4B5151D9" w14:textId="77777777" w:rsidR="00DA5561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B31C47E" w14:textId="77777777" w:rsidR="00C37321" w:rsidRPr="009264E8" w:rsidRDefault="00C3732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8FF4974" w14:textId="388CB30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0.00024</w:t>
            </w:r>
          </w:p>
          <w:p w14:paraId="14C21EE4" w14:textId="77777777" w:rsidR="00DA5561" w:rsidRDefault="00DA5561" w:rsidP="00236196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23E39B6B" w14:textId="77777777" w:rsidR="00DA5561" w:rsidRPr="009264E8" w:rsidRDefault="00DA5561" w:rsidP="00236196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7FD356E8" w14:textId="4FE2A9FD" w:rsidR="00DA5561" w:rsidRPr="009264E8" w:rsidRDefault="00DA5561" w:rsidP="00236196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842" w:type="dxa"/>
          </w:tcPr>
          <w:p w14:paraId="7E1B50F3" w14:textId="6FF3A9D2" w:rsidR="00DA5561" w:rsidRPr="009264E8" w:rsidRDefault="00DA5561" w:rsidP="00EA1AB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 xml:space="preserve">0.0005 (same for </w:t>
            </w:r>
            <w:r w:rsidRPr="009264E8">
              <w:rPr>
                <w:sz w:val="20"/>
                <w:szCs w:val="20"/>
                <w:lang w:val="en-US"/>
              </w:rPr>
              <w:lastRenderedPageBreak/>
              <w:t>up &amp; down)</w:t>
            </w:r>
          </w:p>
          <w:p w14:paraId="71C6D745" w14:textId="77777777" w:rsidR="00DA5561" w:rsidRDefault="00DA5561" w:rsidP="00C37321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3F4C0318" w14:textId="77777777" w:rsidR="00C37321" w:rsidRPr="009264E8" w:rsidRDefault="00C37321" w:rsidP="00C37321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1924C5A4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0.00017</w:t>
            </w:r>
          </w:p>
          <w:p w14:paraId="62A95242" w14:textId="77777777" w:rsidR="00DA5561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DCE29D7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B9DC316" w14:textId="2B53CA6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0.0004</w:t>
            </w:r>
          </w:p>
        </w:tc>
        <w:tc>
          <w:tcPr>
            <w:tcW w:w="1843" w:type="dxa"/>
          </w:tcPr>
          <w:p w14:paraId="2E87CDBC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35</w:t>
            </w:r>
          </w:p>
          <w:p w14:paraId="4D82D723" w14:textId="77777777" w:rsidR="00DA5561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21F8A28" w14:textId="77777777" w:rsidR="00C37321" w:rsidRPr="009264E8" w:rsidRDefault="00C3732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3890A7A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F843787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50</w:t>
            </w:r>
          </w:p>
          <w:p w14:paraId="5036C992" w14:textId="77777777" w:rsidR="00DA5561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928125F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B3F1D78" w14:textId="62D8A54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843" w:type="dxa"/>
          </w:tcPr>
          <w:p w14:paraId="2831B5B8" w14:textId="77777777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15</w:t>
            </w:r>
          </w:p>
          <w:p w14:paraId="161519D4" w14:textId="77777777" w:rsidR="00DA5561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F040395" w14:textId="77777777" w:rsidR="00C37321" w:rsidRPr="009264E8" w:rsidRDefault="00C3732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B63D40B" w14:textId="77777777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185D249" w14:textId="77777777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35</w:t>
            </w:r>
          </w:p>
          <w:p w14:paraId="669A81CF" w14:textId="77777777" w:rsidR="00DA5561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1558454" w14:textId="77777777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40FEB42" w14:textId="5072C567" w:rsidR="00DA5561" w:rsidRPr="009264E8" w:rsidRDefault="00DA5561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402" w:type="dxa"/>
          </w:tcPr>
          <w:p w14:paraId="36D4091B" w14:textId="5028376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McGrath and Davison, 1995 (Fig. 1)</w:t>
            </w:r>
          </w:p>
        </w:tc>
      </w:tr>
      <w:tr w:rsidR="00DA5561" w:rsidRPr="00CB734F" w14:paraId="7D9CFA56" w14:textId="77777777" w:rsidTr="00DA5561">
        <w:tc>
          <w:tcPr>
            <w:tcW w:w="709" w:type="dxa"/>
          </w:tcPr>
          <w:p w14:paraId="5514EB45" w14:textId="393EC97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559" w:type="dxa"/>
          </w:tcPr>
          <w:p w14:paraId="2E4C6106" w14:textId="3C96994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Denali fault</w:t>
            </w:r>
          </w:p>
        </w:tc>
        <w:tc>
          <w:tcPr>
            <w:tcW w:w="851" w:type="dxa"/>
          </w:tcPr>
          <w:p w14:paraId="4332EAEC" w14:textId="41CED408" w:rsidR="00DA5561" w:rsidRPr="009264E8" w:rsidRDefault="00DA5561" w:rsidP="00050AAC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276" w:type="dxa"/>
          </w:tcPr>
          <w:p w14:paraId="136B49B9" w14:textId="10FC89A7" w:rsidR="00DA5561" w:rsidRPr="009264E8" w:rsidRDefault="00DA5561" w:rsidP="00050AAC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~2300</w:t>
            </w:r>
          </w:p>
        </w:tc>
        <w:tc>
          <w:tcPr>
            <w:tcW w:w="1701" w:type="dxa"/>
          </w:tcPr>
          <w:p w14:paraId="74966449" w14:textId="3F31736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West: ~800</w:t>
            </w:r>
          </w:p>
          <w:p w14:paraId="15F8023F" w14:textId="76D8949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East: ~580</w:t>
            </w:r>
          </w:p>
        </w:tc>
        <w:tc>
          <w:tcPr>
            <w:tcW w:w="1842" w:type="dxa"/>
          </w:tcPr>
          <w:p w14:paraId="7E57491E" w14:textId="2A82C40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West: ~100</w:t>
            </w:r>
          </w:p>
          <w:p w14:paraId="667ADBAA" w14:textId="10F3778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East: ~200</w:t>
            </w:r>
          </w:p>
        </w:tc>
        <w:tc>
          <w:tcPr>
            <w:tcW w:w="1843" w:type="dxa"/>
          </w:tcPr>
          <w:p w14:paraId="294B7BB9" w14:textId="21512C2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West</w:t>
            </w:r>
            <w:proofErr w:type="gramStart"/>
            <w:r w:rsidRPr="009264E8">
              <w:rPr>
                <w:sz w:val="20"/>
                <w:szCs w:val="20"/>
                <w:lang w:val="en-US"/>
              </w:rPr>
              <w:t>: ?</w:t>
            </w:r>
            <w:proofErr w:type="gramEnd"/>
          </w:p>
          <w:p w14:paraId="1249EC1E" w14:textId="63E56AD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East</w:t>
            </w:r>
            <w:proofErr w:type="gramStart"/>
            <w:r w:rsidRPr="009264E8">
              <w:rPr>
                <w:sz w:val="20"/>
                <w:szCs w:val="20"/>
                <w:lang w:val="en-US"/>
              </w:rPr>
              <w:t>: ?</w:t>
            </w:r>
            <w:proofErr w:type="gramEnd"/>
          </w:p>
        </w:tc>
        <w:tc>
          <w:tcPr>
            <w:tcW w:w="1843" w:type="dxa"/>
          </w:tcPr>
          <w:p w14:paraId="7A796623" w14:textId="0CC840D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West: ~20</w:t>
            </w:r>
          </w:p>
          <w:p w14:paraId="38F3E8D5" w14:textId="04EC81F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East: ~30</w:t>
            </w:r>
          </w:p>
        </w:tc>
        <w:tc>
          <w:tcPr>
            <w:tcW w:w="3402" w:type="dxa"/>
          </w:tcPr>
          <w:p w14:paraId="0037F41F" w14:textId="5530196B" w:rsidR="00DA5561" w:rsidRPr="009264E8" w:rsidRDefault="00DA5561" w:rsidP="00050AAC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Plafker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and Berg, 1994 (Fig. 5H)</w:t>
            </w:r>
          </w:p>
        </w:tc>
      </w:tr>
      <w:tr w:rsidR="00DA5561" w:rsidRPr="00CB734F" w14:paraId="0466B1B3" w14:textId="77777777" w:rsidTr="00DA5561">
        <w:tc>
          <w:tcPr>
            <w:tcW w:w="709" w:type="dxa"/>
          </w:tcPr>
          <w:p w14:paraId="7A1D0CA1" w14:textId="38C4E33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</w:tcPr>
          <w:p w14:paraId="0334F545" w14:textId="3201F19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Dixie Valley fault</w:t>
            </w:r>
          </w:p>
        </w:tc>
        <w:tc>
          <w:tcPr>
            <w:tcW w:w="851" w:type="dxa"/>
          </w:tcPr>
          <w:p w14:paraId="21B1FE48" w14:textId="44C94AC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4474DC10" w14:textId="7946117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~80</w:t>
            </w:r>
          </w:p>
        </w:tc>
        <w:tc>
          <w:tcPr>
            <w:tcW w:w="1701" w:type="dxa"/>
          </w:tcPr>
          <w:p w14:paraId="522B1C5E" w14:textId="23A6CD3A" w:rsidR="00DA5561" w:rsidRPr="009264E8" w:rsidRDefault="00DA5561" w:rsidP="0096029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South: ~20 (unclear because mixing with Fairview Peak splays)</w:t>
            </w:r>
          </w:p>
        </w:tc>
        <w:tc>
          <w:tcPr>
            <w:tcW w:w="1842" w:type="dxa"/>
          </w:tcPr>
          <w:p w14:paraId="5AEC11B9" w14:textId="359D0AD1" w:rsidR="00DA5561" w:rsidRPr="009264E8" w:rsidRDefault="00DA5561" w:rsidP="004E09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South: ~13</w:t>
            </w:r>
          </w:p>
        </w:tc>
        <w:tc>
          <w:tcPr>
            <w:tcW w:w="1843" w:type="dxa"/>
          </w:tcPr>
          <w:p w14:paraId="2D70BC4D" w14:textId="720A1A7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South</w:t>
            </w:r>
            <w:proofErr w:type="gramStart"/>
            <w:r w:rsidRPr="009264E8">
              <w:rPr>
                <w:sz w:val="20"/>
                <w:szCs w:val="20"/>
                <w:lang w:val="en-US"/>
              </w:rPr>
              <w:t>: ?</w:t>
            </w:r>
            <w:proofErr w:type="gramEnd"/>
          </w:p>
        </w:tc>
        <w:tc>
          <w:tcPr>
            <w:tcW w:w="1843" w:type="dxa"/>
          </w:tcPr>
          <w:p w14:paraId="58F4A47F" w14:textId="235BE83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South</w:t>
            </w:r>
            <w:proofErr w:type="gramStart"/>
            <w:r w:rsidRPr="009264E8">
              <w:rPr>
                <w:sz w:val="20"/>
                <w:szCs w:val="20"/>
                <w:lang w:val="en-US"/>
              </w:rPr>
              <w:t>: ?</w:t>
            </w:r>
            <w:proofErr w:type="gramEnd"/>
          </w:p>
        </w:tc>
        <w:tc>
          <w:tcPr>
            <w:tcW w:w="3402" w:type="dxa"/>
          </w:tcPr>
          <w:p w14:paraId="3C5783C3" w14:textId="322247F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Bell and 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Katzer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>, 1990 (Fig. 1a)</w:t>
            </w:r>
          </w:p>
        </w:tc>
      </w:tr>
      <w:tr w:rsidR="00DA5561" w14:paraId="2D6F9F18" w14:textId="77777777" w:rsidTr="00DA5561">
        <w:tc>
          <w:tcPr>
            <w:tcW w:w="709" w:type="dxa"/>
          </w:tcPr>
          <w:p w14:paraId="3DF7E78A" w14:textId="744E1CF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14:paraId="3A90F263" w14:textId="1A43D4D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Elsinore fault</w:t>
            </w:r>
          </w:p>
        </w:tc>
        <w:tc>
          <w:tcPr>
            <w:tcW w:w="851" w:type="dxa"/>
          </w:tcPr>
          <w:p w14:paraId="65AFA065" w14:textId="7A9C954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276" w:type="dxa"/>
          </w:tcPr>
          <w:p w14:paraId="1DA93A21" w14:textId="6416B65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~350</w:t>
            </w:r>
          </w:p>
        </w:tc>
        <w:tc>
          <w:tcPr>
            <w:tcW w:w="1701" w:type="dxa"/>
          </w:tcPr>
          <w:p w14:paraId="0027CC00" w14:textId="2E3E549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70 to 120</w:t>
            </w:r>
          </w:p>
        </w:tc>
        <w:tc>
          <w:tcPr>
            <w:tcW w:w="1842" w:type="dxa"/>
          </w:tcPr>
          <w:p w14:paraId="11C9BE78" w14:textId="283FA07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22 to 60</w:t>
            </w:r>
          </w:p>
        </w:tc>
        <w:tc>
          <w:tcPr>
            <w:tcW w:w="1843" w:type="dxa"/>
          </w:tcPr>
          <w:p w14:paraId="039CCA5B" w14:textId="53AC0F4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~30</w:t>
            </w:r>
          </w:p>
        </w:tc>
        <w:tc>
          <w:tcPr>
            <w:tcW w:w="1843" w:type="dxa"/>
          </w:tcPr>
          <w:p w14:paraId="310BAEDA" w14:textId="4596F8F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283FAA29" w14:textId="58CA21B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Dorsey et al., 2012 (Fig. 1)</w:t>
            </w:r>
          </w:p>
        </w:tc>
      </w:tr>
      <w:tr w:rsidR="00DA5561" w:rsidRPr="00CB734F" w14:paraId="26C07B3A" w14:textId="77777777" w:rsidTr="00DA5561">
        <w:tc>
          <w:tcPr>
            <w:tcW w:w="709" w:type="dxa"/>
          </w:tcPr>
          <w:p w14:paraId="73E4CB4B" w14:textId="73B9CAA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</w:tcPr>
          <w:p w14:paraId="44E04EAF" w14:textId="6466660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Experimental fault at stage 1</w:t>
            </w:r>
          </w:p>
        </w:tc>
        <w:tc>
          <w:tcPr>
            <w:tcW w:w="851" w:type="dxa"/>
          </w:tcPr>
          <w:p w14:paraId="6C376D02" w14:textId="6BF2419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255DD2F9" w14:textId="442BF4D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0.000018</w:t>
            </w:r>
          </w:p>
        </w:tc>
        <w:tc>
          <w:tcPr>
            <w:tcW w:w="1701" w:type="dxa"/>
          </w:tcPr>
          <w:p w14:paraId="409D5FB8" w14:textId="31DECB2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Up: 0.000006</w:t>
            </w:r>
          </w:p>
          <w:p w14:paraId="1B736E01" w14:textId="0228C9E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Down: 0.000007</w:t>
            </w:r>
          </w:p>
        </w:tc>
        <w:tc>
          <w:tcPr>
            <w:tcW w:w="1842" w:type="dxa"/>
          </w:tcPr>
          <w:p w14:paraId="77E854EA" w14:textId="2E1C25F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Up: 0.000001</w:t>
            </w:r>
          </w:p>
          <w:p w14:paraId="364FE425" w14:textId="1C5CFAC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Down: 0.0000028</w:t>
            </w:r>
          </w:p>
        </w:tc>
        <w:tc>
          <w:tcPr>
            <w:tcW w:w="1843" w:type="dxa"/>
          </w:tcPr>
          <w:p w14:paraId="2F12BAE6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~90?</w:t>
            </w:r>
          </w:p>
          <w:p w14:paraId="31F039BB" w14:textId="7C98C5B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~90?</w:t>
            </w:r>
          </w:p>
        </w:tc>
        <w:tc>
          <w:tcPr>
            <w:tcW w:w="1843" w:type="dxa"/>
          </w:tcPr>
          <w:p w14:paraId="5B758B6D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~10</w:t>
            </w:r>
          </w:p>
          <w:p w14:paraId="67E3900D" w14:textId="4772AF4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~10</w:t>
            </w:r>
          </w:p>
        </w:tc>
        <w:tc>
          <w:tcPr>
            <w:tcW w:w="3402" w:type="dxa"/>
          </w:tcPr>
          <w:p w14:paraId="201A29C0" w14:textId="3D30D80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Otsuki and Dilov, 2005 (Fig. 4a)</w:t>
            </w:r>
          </w:p>
        </w:tc>
      </w:tr>
      <w:tr w:rsidR="00DA5561" w:rsidRPr="00CB734F" w14:paraId="410009F4" w14:textId="77777777" w:rsidTr="00DA5561">
        <w:tc>
          <w:tcPr>
            <w:tcW w:w="709" w:type="dxa"/>
          </w:tcPr>
          <w:p w14:paraId="68C78198" w14:textId="399F646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</w:tcPr>
          <w:p w14:paraId="69586BDF" w14:textId="77C094E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Experimental fault (same than above) at stage 2</w:t>
            </w:r>
          </w:p>
        </w:tc>
        <w:tc>
          <w:tcPr>
            <w:tcW w:w="851" w:type="dxa"/>
          </w:tcPr>
          <w:p w14:paraId="002F2CB2" w14:textId="301D023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2CD2649C" w14:textId="63E9E44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0.000030</w:t>
            </w:r>
          </w:p>
        </w:tc>
        <w:tc>
          <w:tcPr>
            <w:tcW w:w="1701" w:type="dxa"/>
          </w:tcPr>
          <w:p w14:paraId="1E6A7424" w14:textId="0BF4688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0.000012</w:t>
            </w:r>
          </w:p>
        </w:tc>
        <w:tc>
          <w:tcPr>
            <w:tcW w:w="1842" w:type="dxa"/>
          </w:tcPr>
          <w:p w14:paraId="74F6452B" w14:textId="7679BC8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0.0000032</w:t>
            </w:r>
          </w:p>
        </w:tc>
        <w:tc>
          <w:tcPr>
            <w:tcW w:w="1843" w:type="dxa"/>
          </w:tcPr>
          <w:p w14:paraId="26C87663" w14:textId="4AF7A1B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~80</w:t>
            </w:r>
          </w:p>
        </w:tc>
        <w:tc>
          <w:tcPr>
            <w:tcW w:w="1843" w:type="dxa"/>
          </w:tcPr>
          <w:p w14:paraId="73727FDD" w14:textId="67B5ADD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~10</w:t>
            </w:r>
          </w:p>
        </w:tc>
        <w:tc>
          <w:tcPr>
            <w:tcW w:w="3402" w:type="dxa"/>
          </w:tcPr>
          <w:p w14:paraId="0AA04191" w14:textId="595F4C7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Otsuki and Dilov, 2005 (Fig. 4b)</w:t>
            </w:r>
          </w:p>
        </w:tc>
      </w:tr>
      <w:tr w:rsidR="00DA5561" w14:paraId="4A9C6E66" w14:textId="77777777" w:rsidTr="00DA5561">
        <w:tc>
          <w:tcPr>
            <w:tcW w:w="709" w:type="dxa"/>
          </w:tcPr>
          <w:p w14:paraId="13204513" w14:textId="32DC464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</w:tcPr>
          <w:p w14:paraId="17A7914A" w14:textId="20071E3C" w:rsidR="00DA5561" w:rsidRPr="009264E8" w:rsidRDefault="00DA5561" w:rsidP="00050AAC">
            <w:pPr>
              <w:spacing w:after="120"/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Gaggade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127D7C28" w14:textId="527F854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7310CDD0" w14:textId="012943D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~80</w:t>
            </w:r>
          </w:p>
        </w:tc>
        <w:tc>
          <w:tcPr>
            <w:tcW w:w="1701" w:type="dxa"/>
          </w:tcPr>
          <w:p w14:paraId="66B4A91C" w14:textId="58426A9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~43</w:t>
            </w:r>
          </w:p>
        </w:tc>
        <w:tc>
          <w:tcPr>
            <w:tcW w:w="1842" w:type="dxa"/>
          </w:tcPr>
          <w:p w14:paraId="3BC87D73" w14:textId="58C1A9D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~12</w:t>
            </w:r>
          </w:p>
        </w:tc>
        <w:tc>
          <w:tcPr>
            <w:tcW w:w="1843" w:type="dxa"/>
          </w:tcPr>
          <w:p w14:paraId="15817C4C" w14:textId="3ECD979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~75</w:t>
            </w:r>
          </w:p>
        </w:tc>
        <w:tc>
          <w:tcPr>
            <w:tcW w:w="1843" w:type="dxa"/>
          </w:tcPr>
          <w:p w14:paraId="238A2915" w14:textId="410CE32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0656CA52" w14:textId="26720CE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Manighetti et al., 2001 (Fig. 11)</w:t>
            </w:r>
          </w:p>
        </w:tc>
      </w:tr>
      <w:tr w:rsidR="00DA5561" w14:paraId="38039C10" w14:textId="77777777" w:rsidTr="00DA5561">
        <w:tc>
          <w:tcPr>
            <w:tcW w:w="709" w:type="dxa"/>
          </w:tcPr>
          <w:p w14:paraId="1334A85E" w14:textId="47819AE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</w:tcPr>
          <w:p w14:paraId="0060FA3E" w14:textId="75B5AAA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Garze-Yushu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236CDA1E" w14:textId="07E7C07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21F87037" w14:textId="60D0540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~410 </w:t>
            </w:r>
          </w:p>
        </w:tc>
        <w:tc>
          <w:tcPr>
            <w:tcW w:w="1701" w:type="dxa"/>
          </w:tcPr>
          <w:p w14:paraId="52F5C280" w14:textId="7E63590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~230</w:t>
            </w:r>
          </w:p>
        </w:tc>
        <w:tc>
          <w:tcPr>
            <w:tcW w:w="1842" w:type="dxa"/>
          </w:tcPr>
          <w:p w14:paraId="39337E25" w14:textId="3A5B6E5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843" w:type="dxa"/>
          </w:tcPr>
          <w:p w14:paraId="077B1C86" w14:textId="1319846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</w:tcPr>
          <w:p w14:paraId="1901F44F" w14:textId="556DF4B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</w:t>
            </w:r>
          </w:p>
        </w:tc>
        <w:tc>
          <w:tcPr>
            <w:tcW w:w="3402" w:type="dxa"/>
          </w:tcPr>
          <w:p w14:paraId="7B0633F1" w14:textId="76528F0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Wang et al., 2008 (Fig. 2)</w:t>
            </w:r>
          </w:p>
        </w:tc>
      </w:tr>
      <w:tr w:rsidR="00DA5561" w14:paraId="49EDBEE1" w14:textId="77777777" w:rsidTr="00DA5561">
        <w:tc>
          <w:tcPr>
            <w:tcW w:w="709" w:type="dxa"/>
          </w:tcPr>
          <w:p w14:paraId="3AB3D1AF" w14:textId="521FE90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</w:tcPr>
          <w:p w14:paraId="0FA3661F" w14:textId="191C013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Glacier Lakes fault</w:t>
            </w:r>
          </w:p>
        </w:tc>
        <w:tc>
          <w:tcPr>
            <w:tcW w:w="851" w:type="dxa"/>
          </w:tcPr>
          <w:p w14:paraId="0A9161A5" w14:textId="4581ECB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065BBB21" w14:textId="246380C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~10</w:t>
            </w:r>
          </w:p>
        </w:tc>
        <w:tc>
          <w:tcPr>
            <w:tcW w:w="1701" w:type="dxa"/>
          </w:tcPr>
          <w:p w14:paraId="08269FB5" w14:textId="76D0847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~4.7</w:t>
            </w:r>
          </w:p>
        </w:tc>
        <w:tc>
          <w:tcPr>
            <w:tcW w:w="1842" w:type="dxa"/>
          </w:tcPr>
          <w:p w14:paraId="4CC99781" w14:textId="2BC12E9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~1.4</w:t>
            </w:r>
          </w:p>
        </w:tc>
        <w:tc>
          <w:tcPr>
            <w:tcW w:w="1843" w:type="dxa"/>
          </w:tcPr>
          <w:p w14:paraId="6CC604E8" w14:textId="5E25D78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~60</w:t>
            </w:r>
          </w:p>
        </w:tc>
        <w:tc>
          <w:tcPr>
            <w:tcW w:w="1843" w:type="dxa"/>
          </w:tcPr>
          <w:p w14:paraId="03B71858" w14:textId="735224D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~39</w:t>
            </w:r>
          </w:p>
        </w:tc>
        <w:tc>
          <w:tcPr>
            <w:tcW w:w="3402" w:type="dxa"/>
          </w:tcPr>
          <w:p w14:paraId="222D965A" w14:textId="66B32D7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Kirkpatrick et al., 2008 (Fig. 2)</w:t>
            </w:r>
          </w:p>
        </w:tc>
      </w:tr>
      <w:tr w:rsidR="00DA5561" w14:paraId="4568C760" w14:textId="77777777" w:rsidTr="00DA5561">
        <w:tc>
          <w:tcPr>
            <w:tcW w:w="709" w:type="dxa"/>
          </w:tcPr>
          <w:p w14:paraId="0D128EE1" w14:textId="2D3BA75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14:paraId="381D0AF7" w14:textId="5A57EB1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Gozo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Island </w:t>
            </w:r>
            <w:r w:rsidRPr="009264E8">
              <w:rPr>
                <w:sz w:val="20"/>
                <w:szCs w:val="20"/>
                <w:lang w:val="en-US"/>
              </w:rPr>
              <w:lastRenderedPageBreak/>
              <w:t>fault</w:t>
            </w:r>
          </w:p>
        </w:tc>
        <w:tc>
          <w:tcPr>
            <w:tcW w:w="851" w:type="dxa"/>
          </w:tcPr>
          <w:p w14:paraId="4D3A74EE" w14:textId="1DBD6E9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SS LL</w:t>
            </w:r>
          </w:p>
        </w:tc>
        <w:tc>
          <w:tcPr>
            <w:tcW w:w="1276" w:type="dxa"/>
          </w:tcPr>
          <w:p w14:paraId="56A4A813" w14:textId="074844A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1701" w:type="dxa"/>
          </w:tcPr>
          <w:p w14:paraId="05D0C409" w14:textId="7CC8A28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1842" w:type="dxa"/>
          </w:tcPr>
          <w:p w14:paraId="34FD4CA9" w14:textId="0EBDB21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0.0003</w:t>
            </w:r>
          </w:p>
        </w:tc>
        <w:tc>
          <w:tcPr>
            <w:tcW w:w="1843" w:type="dxa"/>
          </w:tcPr>
          <w:p w14:paraId="7472BC7E" w14:textId="51725DB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~80</w:t>
            </w:r>
          </w:p>
        </w:tc>
        <w:tc>
          <w:tcPr>
            <w:tcW w:w="1843" w:type="dxa"/>
          </w:tcPr>
          <w:p w14:paraId="70B62A74" w14:textId="2B82256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40-50</w:t>
            </w:r>
          </w:p>
        </w:tc>
        <w:tc>
          <w:tcPr>
            <w:tcW w:w="3402" w:type="dxa"/>
          </w:tcPr>
          <w:p w14:paraId="17878793" w14:textId="3A7C94D2" w:rsidR="00DA5561" w:rsidRPr="00CB734F" w:rsidRDefault="00DA5561" w:rsidP="00050AAC">
            <w:pPr>
              <w:spacing w:after="120"/>
              <w:jc w:val="center"/>
              <w:rPr>
                <w:sz w:val="20"/>
                <w:szCs w:val="20"/>
              </w:rPr>
            </w:pPr>
            <w:r w:rsidRPr="00CB734F">
              <w:rPr>
                <w:sz w:val="20"/>
                <w:szCs w:val="20"/>
              </w:rPr>
              <w:t xml:space="preserve">Kim et </w:t>
            </w:r>
            <w:proofErr w:type="gramStart"/>
            <w:r w:rsidRPr="00CB734F">
              <w:rPr>
                <w:sz w:val="20"/>
                <w:szCs w:val="20"/>
              </w:rPr>
              <w:t>al.,</w:t>
            </w:r>
            <w:proofErr w:type="gramEnd"/>
            <w:r w:rsidRPr="00CB734F">
              <w:rPr>
                <w:sz w:val="20"/>
                <w:szCs w:val="20"/>
              </w:rPr>
              <w:t xml:space="preserve"> 2003 (Fig. 4b)</w:t>
            </w:r>
          </w:p>
        </w:tc>
      </w:tr>
      <w:tr w:rsidR="00DA5561" w14:paraId="5687E2EE" w14:textId="77777777" w:rsidTr="00DA5561">
        <w:tc>
          <w:tcPr>
            <w:tcW w:w="709" w:type="dxa"/>
          </w:tcPr>
          <w:p w14:paraId="4A96E5FC" w14:textId="648F300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559" w:type="dxa"/>
          </w:tcPr>
          <w:p w14:paraId="792A1F4E" w14:textId="7117547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Iron Ridge fault</w:t>
            </w:r>
          </w:p>
        </w:tc>
        <w:tc>
          <w:tcPr>
            <w:tcW w:w="851" w:type="dxa"/>
          </w:tcPr>
          <w:p w14:paraId="5FFFFD6D" w14:textId="02828AA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7AAA35CE" w14:textId="650CF9C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~8</w:t>
            </w:r>
          </w:p>
        </w:tc>
        <w:tc>
          <w:tcPr>
            <w:tcW w:w="1701" w:type="dxa"/>
          </w:tcPr>
          <w:p w14:paraId="6EDF1FA9" w14:textId="0CE9363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</w:t>
            </w:r>
          </w:p>
        </w:tc>
        <w:tc>
          <w:tcPr>
            <w:tcW w:w="1842" w:type="dxa"/>
          </w:tcPr>
          <w:p w14:paraId="00CE921B" w14:textId="27474B8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</w:t>
            </w:r>
          </w:p>
        </w:tc>
        <w:tc>
          <w:tcPr>
            <w:tcW w:w="1843" w:type="dxa"/>
          </w:tcPr>
          <w:p w14:paraId="0FC7C517" w14:textId="5222806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843" w:type="dxa"/>
          </w:tcPr>
          <w:p w14:paraId="7DE0CE6E" w14:textId="7814427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~10</w:t>
            </w:r>
          </w:p>
        </w:tc>
        <w:tc>
          <w:tcPr>
            <w:tcW w:w="3402" w:type="dxa"/>
          </w:tcPr>
          <w:p w14:paraId="345C5DD1" w14:textId="14D2DD1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Ferrill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et al., 1999 (Fig. 3c)</w:t>
            </w:r>
          </w:p>
        </w:tc>
      </w:tr>
      <w:tr w:rsidR="00DA5561" w:rsidRPr="00CB734F" w14:paraId="5CFA8F00" w14:textId="7F6E2852" w:rsidTr="00DA5561">
        <w:tc>
          <w:tcPr>
            <w:tcW w:w="709" w:type="dxa"/>
          </w:tcPr>
          <w:p w14:paraId="5196E64D" w14:textId="6432A00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</w:tcPr>
          <w:p w14:paraId="2F01C60C" w14:textId="2F84B95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J fault, Levant Basin</w:t>
            </w:r>
          </w:p>
        </w:tc>
        <w:tc>
          <w:tcPr>
            <w:tcW w:w="851" w:type="dxa"/>
          </w:tcPr>
          <w:p w14:paraId="0BD14EE5" w14:textId="47E8A8F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2C9C5C60" w14:textId="728D9EB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14:paraId="1E96D109" w14:textId="0E3E67B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~5.3</w:t>
            </w:r>
          </w:p>
        </w:tc>
        <w:tc>
          <w:tcPr>
            <w:tcW w:w="1842" w:type="dxa"/>
          </w:tcPr>
          <w:p w14:paraId="2A014D31" w14:textId="0F1C7E3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~1.2</w:t>
            </w:r>
          </w:p>
        </w:tc>
        <w:tc>
          <w:tcPr>
            <w:tcW w:w="1843" w:type="dxa"/>
          </w:tcPr>
          <w:p w14:paraId="0EFE73ED" w14:textId="040AB23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~55</w:t>
            </w:r>
          </w:p>
        </w:tc>
        <w:tc>
          <w:tcPr>
            <w:tcW w:w="1843" w:type="dxa"/>
          </w:tcPr>
          <w:p w14:paraId="443700BE" w14:textId="4E7FE86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~25</w:t>
            </w:r>
          </w:p>
        </w:tc>
        <w:tc>
          <w:tcPr>
            <w:tcW w:w="3402" w:type="dxa"/>
          </w:tcPr>
          <w:p w14:paraId="400DD7FC" w14:textId="1C03E2B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Baudon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and Cartwright, 2008 (Fig. 6a)</w:t>
            </w:r>
          </w:p>
        </w:tc>
      </w:tr>
      <w:tr w:rsidR="00DA5561" w14:paraId="1D1BD941" w14:textId="6E23C4AC" w:rsidTr="00DA5561">
        <w:tc>
          <w:tcPr>
            <w:tcW w:w="709" w:type="dxa"/>
          </w:tcPr>
          <w:p w14:paraId="05326026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89F5456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37372D6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F093E81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0AFAEA2" w14:textId="77777777" w:rsidR="00DA5561" w:rsidRDefault="00DA5561" w:rsidP="00F37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4139DF3" w14:textId="5ECB5989" w:rsidR="00DA5561" w:rsidRPr="009264E8" w:rsidRDefault="00DA5561" w:rsidP="002A5FC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</w:tcPr>
          <w:p w14:paraId="459FECCE" w14:textId="09612CA9" w:rsidR="00DA5561" w:rsidRPr="009264E8" w:rsidRDefault="00DA5561" w:rsidP="002A5FC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9AFC5A8" w14:textId="77777777" w:rsidR="00DA5561" w:rsidRDefault="00DA5561" w:rsidP="002A5FC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FAB4E05" w14:textId="77777777" w:rsidR="00DA5561" w:rsidRPr="009264E8" w:rsidRDefault="00DA5561" w:rsidP="002A5FC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Kunlun fault</w:t>
            </w:r>
          </w:p>
          <w:p w14:paraId="134CE019" w14:textId="3645C0C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22A28E5" w14:textId="77777777" w:rsidR="00DA5561" w:rsidRPr="009264E8" w:rsidRDefault="00DA5561" w:rsidP="00D32A70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0745E3CE" w14:textId="77777777" w:rsidR="00DA5561" w:rsidRPr="009264E8" w:rsidRDefault="00DA5561" w:rsidP="00D32A70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6C756A95" w14:textId="566FD3D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12291224" w14:textId="1F410A96" w:rsidR="00DA5561" w:rsidRPr="009264E8" w:rsidRDefault="00DA5561" w:rsidP="00D32A70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 </w:t>
            </w:r>
          </w:p>
          <w:p w14:paraId="4CA99D75" w14:textId="77777777" w:rsidR="00DA5561" w:rsidRPr="009264E8" w:rsidRDefault="00DA5561" w:rsidP="006D06F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74101B4" w14:textId="220A7C0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~1500</w:t>
            </w:r>
          </w:p>
        </w:tc>
        <w:tc>
          <w:tcPr>
            <w:tcW w:w="1701" w:type="dxa"/>
          </w:tcPr>
          <w:p w14:paraId="6780A24E" w14:textId="0958E524" w:rsidR="00DA5561" w:rsidRDefault="00DA5561" w:rsidP="002876B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Western: ~230 (minimum length as 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Manyi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 may be a splay)</w:t>
            </w:r>
          </w:p>
          <w:p w14:paraId="325B498E" w14:textId="77777777" w:rsidR="002876B3" w:rsidRPr="009264E8" w:rsidRDefault="002876B3" w:rsidP="002876B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53DD275" w14:textId="5A39A108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Eastern: ~450</w:t>
            </w:r>
          </w:p>
        </w:tc>
        <w:tc>
          <w:tcPr>
            <w:tcW w:w="1842" w:type="dxa"/>
          </w:tcPr>
          <w:p w14:paraId="0614D01D" w14:textId="7C047354" w:rsidR="00DA5561" w:rsidRPr="009264E8" w:rsidRDefault="00DA5561" w:rsidP="00EC530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Western: ~120 (minimum width as 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Manyi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 may be a splay)</w:t>
            </w:r>
          </w:p>
          <w:p w14:paraId="573E9911" w14:textId="77777777" w:rsidR="00DA5561" w:rsidRDefault="00DA5561" w:rsidP="000E433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1584D03" w14:textId="3469CF11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Eastern: ~210</w:t>
            </w:r>
          </w:p>
        </w:tc>
        <w:tc>
          <w:tcPr>
            <w:tcW w:w="1843" w:type="dxa"/>
          </w:tcPr>
          <w:p w14:paraId="2F967A04" w14:textId="2B698AFA" w:rsidR="00DA5561" w:rsidRPr="009264E8" w:rsidRDefault="00DA5561" w:rsidP="00B911D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Western: ~30</w:t>
            </w:r>
          </w:p>
          <w:p w14:paraId="3AD3C2BF" w14:textId="77777777" w:rsidR="00DA5561" w:rsidRPr="009264E8" w:rsidRDefault="00DA5561" w:rsidP="00B911D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6A0C91C" w14:textId="77777777" w:rsidR="00DA5561" w:rsidRPr="009264E8" w:rsidRDefault="00DA5561" w:rsidP="00BB6D8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0968BED" w14:textId="77777777" w:rsidR="00DA5561" w:rsidRPr="009264E8" w:rsidRDefault="00DA5561" w:rsidP="00BB6D8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19FBDA8" w14:textId="6FE39249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Eastern: ~40</w:t>
            </w:r>
          </w:p>
        </w:tc>
        <w:tc>
          <w:tcPr>
            <w:tcW w:w="1843" w:type="dxa"/>
          </w:tcPr>
          <w:p w14:paraId="391F78B9" w14:textId="7D4162E2" w:rsidR="00DA5561" w:rsidRPr="009264E8" w:rsidRDefault="00DA5561" w:rsidP="00BB6D88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Western: ~30</w:t>
            </w:r>
            <w:r w:rsidRPr="009264E8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00023633" w14:textId="77777777" w:rsidR="00DA5561" w:rsidRPr="009264E8" w:rsidRDefault="00DA5561" w:rsidP="00BB6D8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150338E" w14:textId="77777777" w:rsidR="00DA5561" w:rsidRPr="009264E8" w:rsidRDefault="00DA5561" w:rsidP="002A5FC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546A432" w14:textId="77777777" w:rsidR="00DA5561" w:rsidRPr="009264E8" w:rsidRDefault="00DA5561" w:rsidP="002A5FC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47206A2" w14:textId="086FE752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Eastern: ~25</w:t>
            </w:r>
          </w:p>
        </w:tc>
        <w:tc>
          <w:tcPr>
            <w:tcW w:w="3402" w:type="dxa"/>
          </w:tcPr>
          <w:p w14:paraId="06761D01" w14:textId="2A51196F" w:rsidR="00DA5561" w:rsidRPr="00CB734F" w:rsidRDefault="00DA5561" w:rsidP="006D06F1">
            <w:pPr>
              <w:spacing w:after="120"/>
              <w:jc w:val="center"/>
              <w:rPr>
                <w:sz w:val="20"/>
                <w:szCs w:val="20"/>
              </w:rPr>
            </w:pPr>
            <w:r w:rsidRPr="00CB734F">
              <w:rPr>
                <w:sz w:val="20"/>
                <w:szCs w:val="20"/>
              </w:rPr>
              <w:t xml:space="preserve">Van der </w:t>
            </w:r>
            <w:proofErr w:type="spellStart"/>
            <w:r w:rsidRPr="00CB734F">
              <w:rPr>
                <w:sz w:val="20"/>
                <w:szCs w:val="20"/>
              </w:rPr>
              <w:t>Woerd</w:t>
            </w:r>
            <w:proofErr w:type="spellEnd"/>
            <w:r w:rsidRPr="00CB734F">
              <w:rPr>
                <w:sz w:val="20"/>
                <w:szCs w:val="20"/>
              </w:rPr>
              <w:t xml:space="preserve"> et </w:t>
            </w:r>
            <w:proofErr w:type="gramStart"/>
            <w:r w:rsidRPr="00CB734F">
              <w:rPr>
                <w:sz w:val="20"/>
                <w:szCs w:val="20"/>
              </w:rPr>
              <w:t>al.,</w:t>
            </w:r>
            <w:proofErr w:type="gramEnd"/>
            <w:r w:rsidRPr="00CB734F">
              <w:rPr>
                <w:sz w:val="20"/>
                <w:szCs w:val="20"/>
              </w:rPr>
              <w:t xml:space="preserve"> 2002 (Fig. 1)</w:t>
            </w:r>
          </w:p>
          <w:p w14:paraId="13ECFD50" w14:textId="77777777" w:rsidR="00DA5561" w:rsidRPr="00CB734F" w:rsidRDefault="00DA5561" w:rsidP="00EE68E4">
            <w:pPr>
              <w:spacing w:after="120"/>
              <w:rPr>
                <w:sz w:val="20"/>
                <w:szCs w:val="20"/>
              </w:rPr>
            </w:pPr>
          </w:p>
          <w:p w14:paraId="0F61AD5C" w14:textId="77777777" w:rsidR="00DA5561" w:rsidRPr="00CB734F" w:rsidRDefault="00DA5561" w:rsidP="00BE7DE0">
            <w:pPr>
              <w:spacing w:after="120"/>
              <w:rPr>
                <w:sz w:val="20"/>
                <w:szCs w:val="20"/>
              </w:rPr>
            </w:pPr>
          </w:p>
          <w:p w14:paraId="6B769B72" w14:textId="77777777" w:rsidR="00206BC0" w:rsidRPr="00CB734F" w:rsidRDefault="00206BC0" w:rsidP="00176E79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6D3CEA6D" w14:textId="3BCE2ABB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Kirby et al., 2007 (Fig. 1)</w:t>
            </w:r>
          </w:p>
        </w:tc>
      </w:tr>
      <w:tr w:rsidR="00DA5561" w14:paraId="7A16F8FF" w14:textId="77777777" w:rsidTr="00DA5561">
        <w:tc>
          <w:tcPr>
            <w:tcW w:w="709" w:type="dxa"/>
          </w:tcPr>
          <w:p w14:paraId="3C1F37ED" w14:textId="3A36D10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</w:tcPr>
          <w:p w14:paraId="38DD8263" w14:textId="0D844159" w:rsidR="00DA5561" w:rsidRPr="00CB734F" w:rsidRDefault="00DA5561" w:rsidP="00050AA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CB734F">
              <w:rPr>
                <w:sz w:val="20"/>
                <w:szCs w:val="20"/>
              </w:rPr>
              <w:t>Lavic</w:t>
            </w:r>
            <w:proofErr w:type="spellEnd"/>
            <w:r w:rsidRPr="00CB734F">
              <w:rPr>
                <w:sz w:val="20"/>
                <w:szCs w:val="20"/>
              </w:rPr>
              <w:t xml:space="preserve"> Lake-</w:t>
            </w:r>
            <w:proofErr w:type="spellStart"/>
            <w:r w:rsidRPr="00CB734F">
              <w:rPr>
                <w:sz w:val="20"/>
                <w:szCs w:val="20"/>
              </w:rPr>
              <w:t>Bullion</w:t>
            </w:r>
            <w:proofErr w:type="spellEnd"/>
            <w:r w:rsidRPr="00CB734F">
              <w:rPr>
                <w:sz w:val="20"/>
                <w:szCs w:val="20"/>
              </w:rPr>
              <w:t>-</w:t>
            </w:r>
            <w:proofErr w:type="spellStart"/>
            <w:r w:rsidRPr="00CB734F">
              <w:rPr>
                <w:sz w:val="20"/>
                <w:szCs w:val="20"/>
              </w:rPr>
              <w:t>Mesquite</w:t>
            </w:r>
            <w:proofErr w:type="spellEnd"/>
            <w:r w:rsidRPr="00CB734F">
              <w:rPr>
                <w:sz w:val="20"/>
                <w:szCs w:val="20"/>
              </w:rPr>
              <w:t xml:space="preserve"> </w:t>
            </w:r>
            <w:proofErr w:type="spellStart"/>
            <w:r w:rsidRPr="00CB734F">
              <w:rPr>
                <w:sz w:val="20"/>
                <w:szCs w:val="20"/>
              </w:rPr>
              <w:t>fault</w:t>
            </w:r>
            <w:proofErr w:type="spellEnd"/>
            <w:r w:rsidRPr="00CB734F">
              <w:rPr>
                <w:sz w:val="20"/>
                <w:szCs w:val="20"/>
              </w:rPr>
              <w:t xml:space="preserve"> zone</w:t>
            </w:r>
          </w:p>
        </w:tc>
        <w:tc>
          <w:tcPr>
            <w:tcW w:w="851" w:type="dxa"/>
          </w:tcPr>
          <w:p w14:paraId="24DFED07" w14:textId="4B50B20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276" w:type="dxa"/>
          </w:tcPr>
          <w:p w14:paraId="3D94EFF2" w14:textId="71CBAAC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~90</w:t>
            </w:r>
          </w:p>
        </w:tc>
        <w:tc>
          <w:tcPr>
            <w:tcW w:w="1701" w:type="dxa"/>
          </w:tcPr>
          <w:p w14:paraId="15C5FEEB" w14:textId="714C1B3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~40</w:t>
            </w:r>
          </w:p>
        </w:tc>
        <w:tc>
          <w:tcPr>
            <w:tcW w:w="1842" w:type="dxa"/>
          </w:tcPr>
          <w:p w14:paraId="78CC80F4" w14:textId="77777777" w:rsidR="00DA5561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~12 </w:t>
            </w:r>
          </w:p>
          <w:p w14:paraId="67D13557" w14:textId="587C0F7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(Simons et al., 2002)</w:t>
            </w:r>
          </w:p>
        </w:tc>
        <w:tc>
          <w:tcPr>
            <w:tcW w:w="1843" w:type="dxa"/>
          </w:tcPr>
          <w:p w14:paraId="5FF83EBE" w14:textId="6268730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1843" w:type="dxa"/>
          </w:tcPr>
          <w:p w14:paraId="518BEDB1" w14:textId="38FCB29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002A8402" w14:textId="1DD7CBC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Jachens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et al., 2002 (Fig. 1)</w:t>
            </w:r>
          </w:p>
        </w:tc>
      </w:tr>
      <w:tr w:rsidR="00DA5561" w14:paraId="245BDE62" w14:textId="77777777" w:rsidTr="00DA5561">
        <w:tc>
          <w:tcPr>
            <w:tcW w:w="709" w:type="dxa"/>
          </w:tcPr>
          <w:p w14:paraId="722C66AD" w14:textId="63FF02B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</w:tcPr>
          <w:p w14:paraId="518BABA2" w14:textId="1252134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Longmen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Shan fault zone</w:t>
            </w:r>
          </w:p>
        </w:tc>
        <w:tc>
          <w:tcPr>
            <w:tcW w:w="851" w:type="dxa"/>
          </w:tcPr>
          <w:p w14:paraId="2622E280" w14:textId="40365D93" w:rsidR="00DA5561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R</w:t>
            </w:r>
            <w:r w:rsidR="00206BC0">
              <w:rPr>
                <w:sz w:val="20"/>
                <w:szCs w:val="20"/>
                <w:lang w:val="en-US"/>
              </w:rPr>
              <w:t>E</w:t>
            </w:r>
            <w:r w:rsidRPr="009264E8">
              <w:rPr>
                <w:sz w:val="20"/>
                <w:szCs w:val="20"/>
                <w:lang w:val="en-US"/>
              </w:rPr>
              <w:t xml:space="preserve"> </w:t>
            </w:r>
          </w:p>
          <w:p w14:paraId="7644587D" w14:textId="5697A707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&amp; RL </w:t>
            </w:r>
          </w:p>
        </w:tc>
        <w:tc>
          <w:tcPr>
            <w:tcW w:w="1276" w:type="dxa"/>
          </w:tcPr>
          <w:p w14:paraId="3703B02B" w14:textId="28E9108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~480</w:t>
            </w:r>
          </w:p>
        </w:tc>
        <w:tc>
          <w:tcPr>
            <w:tcW w:w="1701" w:type="dxa"/>
          </w:tcPr>
          <w:p w14:paraId="238A25BC" w14:textId="27AF6ED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~210</w:t>
            </w:r>
          </w:p>
        </w:tc>
        <w:tc>
          <w:tcPr>
            <w:tcW w:w="1842" w:type="dxa"/>
          </w:tcPr>
          <w:p w14:paraId="05D6550C" w14:textId="2CB6A31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~26</w:t>
            </w:r>
          </w:p>
        </w:tc>
        <w:tc>
          <w:tcPr>
            <w:tcW w:w="1843" w:type="dxa"/>
          </w:tcPr>
          <w:p w14:paraId="0A89663C" w14:textId="4D501D9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</w:tcPr>
          <w:p w14:paraId="5423BA1A" w14:textId="3F66D9E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~10</w:t>
            </w:r>
          </w:p>
        </w:tc>
        <w:tc>
          <w:tcPr>
            <w:tcW w:w="3402" w:type="dxa"/>
          </w:tcPr>
          <w:p w14:paraId="79A75B06" w14:textId="65037FC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Shen et al., 2009 (Fig. 1)</w:t>
            </w:r>
          </w:p>
        </w:tc>
      </w:tr>
      <w:tr w:rsidR="00DA5561" w14:paraId="3F9B67D5" w14:textId="77777777" w:rsidTr="00DA5561">
        <w:tc>
          <w:tcPr>
            <w:tcW w:w="709" w:type="dxa"/>
          </w:tcPr>
          <w:p w14:paraId="44855F2A" w14:textId="49171CC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59" w:type="dxa"/>
          </w:tcPr>
          <w:p w14:paraId="3DDE1B1E" w14:textId="36354CB6" w:rsidR="00DA5561" w:rsidRPr="009264E8" w:rsidRDefault="00206BC0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Makarrasou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0CC31F0D" w14:textId="4FBA50F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348ADE56" w14:textId="39C1EF4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~23</w:t>
            </w:r>
          </w:p>
        </w:tc>
        <w:tc>
          <w:tcPr>
            <w:tcW w:w="1701" w:type="dxa"/>
          </w:tcPr>
          <w:p w14:paraId="4E804DF3" w14:textId="1B8A5C8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~10</w:t>
            </w:r>
          </w:p>
        </w:tc>
        <w:tc>
          <w:tcPr>
            <w:tcW w:w="1842" w:type="dxa"/>
          </w:tcPr>
          <w:p w14:paraId="2B3B52C6" w14:textId="16885FF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~6</w:t>
            </w:r>
          </w:p>
        </w:tc>
        <w:tc>
          <w:tcPr>
            <w:tcW w:w="1843" w:type="dxa"/>
          </w:tcPr>
          <w:p w14:paraId="1DE33433" w14:textId="7B1D018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</w:tcPr>
          <w:p w14:paraId="305639D5" w14:textId="419CA56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3402" w:type="dxa"/>
          </w:tcPr>
          <w:p w14:paraId="76F567C8" w14:textId="45EC6E6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Manighetti et al., 1998 (Plate 1)</w:t>
            </w:r>
          </w:p>
        </w:tc>
      </w:tr>
      <w:tr w:rsidR="00DA5561" w14:paraId="7AAF35B2" w14:textId="77777777" w:rsidTr="00DA5561">
        <w:tc>
          <w:tcPr>
            <w:tcW w:w="709" w:type="dxa"/>
          </w:tcPr>
          <w:p w14:paraId="6C01C866" w14:textId="16B7443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</w:tcPr>
          <w:p w14:paraId="01C05F4B" w14:textId="4F6AF1E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Millbrook Cliff fault</w:t>
            </w:r>
          </w:p>
        </w:tc>
        <w:tc>
          <w:tcPr>
            <w:tcW w:w="851" w:type="dxa"/>
          </w:tcPr>
          <w:p w14:paraId="4C146A35" w14:textId="4211307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276" w:type="dxa"/>
          </w:tcPr>
          <w:p w14:paraId="463B424E" w14:textId="287C6CF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~0.0007</w:t>
            </w:r>
          </w:p>
        </w:tc>
        <w:tc>
          <w:tcPr>
            <w:tcW w:w="1701" w:type="dxa"/>
          </w:tcPr>
          <w:p w14:paraId="6A6B8D04" w14:textId="486D1A9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~0.00013</w:t>
            </w:r>
          </w:p>
        </w:tc>
        <w:tc>
          <w:tcPr>
            <w:tcW w:w="1842" w:type="dxa"/>
          </w:tcPr>
          <w:p w14:paraId="3B0DB4C2" w14:textId="1CA305E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~0.000013</w:t>
            </w:r>
          </w:p>
        </w:tc>
        <w:tc>
          <w:tcPr>
            <w:tcW w:w="1843" w:type="dxa"/>
          </w:tcPr>
          <w:p w14:paraId="17DC5C4F" w14:textId="352634F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3" w:type="dxa"/>
          </w:tcPr>
          <w:p w14:paraId="7BCDF067" w14:textId="15CB2E4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402" w:type="dxa"/>
          </w:tcPr>
          <w:p w14:paraId="268C97FB" w14:textId="2EBBB40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Vermilye and Scholz, 1998 (Fig. 4)</w:t>
            </w:r>
          </w:p>
        </w:tc>
      </w:tr>
      <w:tr w:rsidR="00DA5561" w:rsidRPr="00CB734F" w14:paraId="14E73B8B" w14:textId="77777777" w:rsidTr="00DA5561">
        <w:tc>
          <w:tcPr>
            <w:tcW w:w="709" w:type="dxa"/>
          </w:tcPr>
          <w:p w14:paraId="7D2D238D" w14:textId="0FC1215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14:paraId="00DC7347" w14:textId="3AF29AEE" w:rsidR="00DA5561" w:rsidRPr="009264E8" w:rsidRDefault="00DA5561" w:rsidP="00050AAC">
            <w:pPr>
              <w:spacing w:after="120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Mont-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Lozère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243F26D0" w14:textId="188D813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25C0C000" w14:textId="328B926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0.033</w:t>
            </w:r>
          </w:p>
        </w:tc>
        <w:tc>
          <w:tcPr>
            <w:tcW w:w="1701" w:type="dxa"/>
          </w:tcPr>
          <w:p w14:paraId="75A89615" w14:textId="519E469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W: ~0.0073</w:t>
            </w:r>
          </w:p>
          <w:p w14:paraId="6E927516" w14:textId="1236219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E: ~0.0065</w:t>
            </w:r>
          </w:p>
        </w:tc>
        <w:tc>
          <w:tcPr>
            <w:tcW w:w="1842" w:type="dxa"/>
          </w:tcPr>
          <w:p w14:paraId="4005EF2F" w14:textId="421EDF4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W: ~0.004</w:t>
            </w:r>
          </w:p>
          <w:p w14:paraId="03A2AE37" w14:textId="0832FD32" w:rsidR="00DA5561" w:rsidRPr="009264E8" w:rsidRDefault="00DA5561" w:rsidP="00AB7E1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E: ~0.003</w:t>
            </w:r>
          </w:p>
        </w:tc>
        <w:tc>
          <w:tcPr>
            <w:tcW w:w="1843" w:type="dxa"/>
          </w:tcPr>
          <w:p w14:paraId="57DC9173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W: ~55</w:t>
            </w:r>
          </w:p>
          <w:p w14:paraId="13022E5A" w14:textId="16E7F72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E: ~ 45</w:t>
            </w:r>
          </w:p>
        </w:tc>
        <w:tc>
          <w:tcPr>
            <w:tcW w:w="1843" w:type="dxa"/>
          </w:tcPr>
          <w:p w14:paraId="616B8E50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W: ~ 40</w:t>
            </w:r>
          </w:p>
          <w:p w14:paraId="55B8F947" w14:textId="796B9DB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E: ~ 40</w:t>
            </w:r>
          </w:p>
        </w:tc>
        <w:tc>
          <w:tcPr>
            <w:tcW w:w="3402" w:type="dxa"/>
          </w:tcPr>
          <w:p w14:paraId="343FF6AE" w14:textId="19A5D17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Granier, 1985 (Fig. 12a, bottom fault)</w:t>
            </w:r>
          </w:p>
        </w:tc>
      </w:tr>
      <w:tr w:rsidR="00DA5561" w14:paraId="729866A8" w14:textId="77777777" w:rsidTr="00DA5561">
        <w:tc>
          <w:tcPr>
            <w:tcW w:w="709" w:type="dxa"/>
          </w:tcPr>
          <w:p w14:paraId="3E32509F" w14:textId="7F27D56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</w:tcPr>
          <w:p w14:paraId="495D981C" w14:textId="77835067" w:rsidR="00DA5561" w:rsidRPr="009264E8" w:rsidRDefault="00DA5561" w:rsidP="00050AAC">
            <w:pPr>
              <w:spacing w:after="120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No name fault</w:t>
            </w:r>
          </w:p>
        </w:tc>
        <w:tc>
          <w:tcPr>
            <w:tcW w:w="851" w:type="dxa"/>
          </w:tcPr>
          <w:p w14:paraId="26A152A0" w14:textId="4AB51CB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15EB7F8C" w14:textId="211B95B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0.017</w:t>
            </w:r>
          </w:p>
        </w:tc>
        <w:tc>
          <w:tcPr>
            <w:tcW w:w="1701" w:type="dxa"/>
          </w:tcPr>
          <w:p w14:paraId="135066E9" w14:textId="4FEA2F6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SW: 0.0077</w:t>
            </w:r>
          </w:p>
          <w:p w14:paraId="0688D2EA" w14:textId="6B92ADC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NE: 0.0056</w:t>
            </w:r>
          </w:p>
        </w:tc>
        <w:tc>
          <w:tcPr>
            <w:tcW w:w="1842" w:type="dxa"/>
          </w:tcPr>
          <w:p w14:paraId="0ECF36C4" w14:textId="41A46E9B" w:rsidR="00DA5561" w:rsidRPr="009264E8" w:rsidRDefault="00DA5561" w:rsidP="0067332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SW: 0.0005</w:t>
            </w:r>
          </w:p>
          <w:p w14:paraId="4A0FFF33" w14:textId="3EFF731E" w:rsidR="00DA5561" w:rsidRPr="009264E8" w:rsidRDefault="00DA5561" w:rsidP="0067332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NE: 0.0008</w:t>
            </w:r>
          </w:p>
        </w:tc>
        <w:tc>
          <w:tcPr>
            <w:tcW w:w="1843" w:type="dxa"/>
          </w:tcPr>
          <w:p w14:paraId="25853190" w14:textId="26701C2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Unclear</w:t>
            </w:r>
          </w:p>
          <w:p w14:paraId="62BE1719" w14:textId="427CE12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</w:tcPr>
          <w:p w14:paraId="35F4326C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Unclear</w:t>
            </w:r>
          </w:p>
          <w:p w14:paraId="3189168A" w14:textId="56F6DEF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~40</w:t>
            </w:r>
          </w:p>
        </w:tc>
        <w:tc>
          <w:tcPr>
            <w:tcW w:w="3402" w:type="dxa"/>
          </w:tcPr>
          <w:p w14:paraId="73327AA8" w14:textId="4EC915A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Lim et al., 1998 in Willson et al., 2007 (Fig. 8a)</w:t>
            </w:r>
          </w:p>
        </w:tc>
      </w:tr>
      <w:tr w:rsidR="00DA5561" w14:paraId="6ABAF96D" w14:textId="54FA3FD2" w:rsidTr="00DA5561">
        <w:tc>
          <w:tcPr>
            <w:tcW w:w="709" w:type="dxa"/>
          </w:tcPr>
          <w:p w14:paraId="11A1C68C" w14:textId="3632940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559" w:type="dxa"/>
          </w:tcPr>
          <w:p w14:paraId="506A621D" w14:textId="24818F7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North Anatolian fault</w:t>
            </w:r>
          </w:p>
        </w:tc>
        <w:tc>
          <w:tcPr>
            <w:tcW w:w="851" w:type="dxa"/>
          </w:tcPr>
          <w:p w14:paraId="480C430A" w14:textId="3932DD3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276" w:type="dxa"/>
          </w:tcPr>
          <w:p w14:paraId="5A25C3FC" w14:textId="6F5E42E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~1400</w:t>
            </w:r>
          </w:p>
        </w:tc>
        <w:tc>
          <w:tcPr>
            <w:tcW w:w="1701" w:type="dxa"/>
          </w:tcPr>
          <w:p w14:paraId="37FE553C" w14:textId="50C44484" w:rsidR="00DA5561" w:rsidRPr="009264E8" w:rsidRDefault="00DA5561" w:rsidP="00B62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~490</w:t>
            </w:r>
          </w:p>
        </w:tc>
        <w:tc>
          <w:tcPr>
            <w:tcW w:w="1842" w:type="dxa"/>
          </w:tcPr>
          <w:p w14:paraId="6C85B598" w14:textId="58E5EDAD" w:rsidR="00DA5561" w:rsidRPr="009264E8" w:rsidRDefault="00DA5561" w:rsidP="00B62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~150</w:t>
            </w:r>
          </w:p>
        </w:tc>
        <w:tc>
          <w:tcPr>
            <w:tcW w:w="1843" w:type="dxa"/>
          </w:tcPr>
          <w:p w14:paraId="5DFA7EB3" w14:textId="1515AD56" w:rsidR="00DA5561" w:rsidRPr="009264E8" w:rsidRDefault="00DA5561" w:rsidP="00B62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~50</w:t>
            </w:r>
          </w:p>
        </w:tc>
        <w:tc>
          <w:tcPr>
            <w:tcW w:w="1843" w:type="dxa"/>
          </w:tcPr>
          <w:p w14:paraId="5D8FCE0B" w14:textId="6289AB19" w:rsidR="00DA5561" w:rsidRPr="009264E8" w:rsidRDefault="00DA5561" w:rsidP="00B62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</w:t>
            </w:r>
          </w:p>
        </w:tc>
        <w:tc>
          <w:tcPr>
            <w:tcW w:w="3402" w:type="dxa"/>
          </w:tcPr>
          <w:p w14:paraId="1F6F4E9B" w14:textId="2F6798B2" w:rsidR="00DA5561" w:rsidRPr="009264E8" w:rsidRDefault="00766A47" w:rsidP="00B627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Sengö</w:t>
            </w:r>
            <w:r w:rsidR="00DA5561" w:rsidRPr="009264E8">
              <w:rPr>
                <w:sz w:val="20"/>
                <w:szCs w:val="20"/>
                <w:lang w:val="en-US"/>
              </w:rPr>
              <w:t>r</w:t>
            </w:r>
            <w:proofErr w:type="spellEnd"/>
            <w:r w:rsidR="00DA5561" w:rsidRPr="009264E8">
              <w:rPr>
                <w:sz w:val="20"/>
                <w:szCs w:val="20"/>
                <w:lang w:val="en-US"/>
              </w:rPr>
              <w:t xml:space="preserve"> et al., 2005 (Fig. 2)</w:t>
            </w:r>
          </w:p>
        </w:tc>
      </w:tr>
      <w:tr w:rsidR="00DA5561" w14:paraId="69C381AA" w14:textId="77777777" w:rsidTr="00DA5561">
        <w:tc>
          <w:tcPr>
            <w:tcW w:w="709" w:type="dxa"/>
          </w:tcPr>
          <w:p w14:paraId="76904A18" w14:textId="4D64BE35" w:rsidR="00DA5561" w:rsidRPr="009264E8" w:rsidRDefault="00DA5561" w:rsidP="00DD1F1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59" w:type="dxa"/>
          </w:tcPr>
          <w:p w14:paraId="3F158DCC" w14:textId="2C8E70A6" w:rsidR="00DA5561" w:rsidRPr="009264E8" w:rsidRDefault="00DA5561" w:rsidP="00DD1F1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Pleasant Valley </w:t>
            </w:r>
            <w:r w:rsidRPr="009264E8">
              <w:rPr>
                <w:sz w:val="20"/>
                <w:szCs w:val="20"/>
                <w:lang w:val="en-US"/>
              </w:rPr>
              <w:lastRenderedPageBreak/>
              <w:t>fault system</w:t>
            </w:r>
          </w:p>
        </w:tc>
        <w:tc>
          <w:tcPr>
            <w:tcW w:w="851" w:type="dxa"/>
          </w:tcPr>
          <w:p w14:paraId="38ED9EBB" w14:textId="4B17163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1276" w:type="dxa"/>
          </w:tcPr>
          <w:p w14:paraId="0EEF3AB0" w14:textId="1CF288A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~70</w:t>
            </w:r>
          </w:p>
        </w:tc>
        <w:tc>
          <w:tcPr>
            <w:tcW w:w="1701" w:type="dxa"/>
          </w:tcPr>
          <w:p w14:paraId="6B507DC2" w14:textId="43A49EFA" w:rsidR="00DA5561" w:rsidRPr="009264E8" w:rsidRDefault="00DA5561" w:rsidP="00E6024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North: ~19</w:t>
            </w:r>
          </w:p>
          <w:p w14:paraId="0AAB21BF" w14:textId="2C759056" w:rsidR="00DA5561" w:rsidRPr="009264E8" w:rsidRDefault="00DA5561" w:rsidP="00D1686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South: ~25</w:t>
            </w:r>
          </w:p>
        </w:tc>
        <w:tc>
          <w:tcPr>
            <w:tcW w:w="1842" w:type="dxa"/>
          </w:tcPr>
          <w:p w14:paraId="5F8BF339" w14:textId="5FF04C43" w:rsidR="00DA5561" w:rsidRPr="009264E8" w:rsidRDefault="00DA5561" w:rsidP="00D1686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North: ~8</w:t>
            </w:r>
          </w:p>
          <w:p w14:paraId="623A4B84" w14:textId="43F790A5" w:rsidR="00DA5561" w:rsidRPr="009264E8" w:rsidRDefault="00DA5561" w:rsidP="00D1686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South: ~15</w:t>
            </w:r>
          </w:p>
        </w:tc>
        <w:tc>
          <w:tcPr>
            <w:tcW w:w="1843" w:type="dxa"/>
          </w:tcPr>
          <w:p w14:paraId="476BD8F7" w14:textId="489C8F87" w:rsidR="00DA5561" w:rsidRPr="009264E8" w:rsidRDefault="00DA5561" w:rsidP="00D1686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North: ~45</w:t>
            </w:r>
          </w:p>
          <w:p w14:paraId="716FEA75" w14:textId="166BB8B5" w:rsidR="00DA5561" w:rsidRPr="009264E8" w:rsidRDefault="00DA5561" w:rsidP="00D1686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South: ~35</w:t>
            </w:r>
          </w:p>
        </w:tc>
        <w:tc>
          <w:tcPr>
            <w:tcW w:w="1843" w:type="dxa"/>
          </w:tcPr>
          <w:p w14:paraId="3D1E749E" w14:textId="2A5C473F" w:rsidR="00DA5561" w:rsidRPr="009264E8" w:rsidRDefault="00DA5561" w:rsidP="00D1686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North: ~45</w:t>
            </w:r>
          </w:p>
          <w:p w14:paraId="6D826CBC" w14:textId="29E95D6A" w:rsidR="00DA5561" w:rsidRPr="009264E8" w:rsidRDefault="00DA5561" w:rsidP="00D1686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South: ~35</w:t>
            </w:r>
          </w:p>
        </w:tc>
        <w:tc>
          <w:tcPr>
            <w:tcW w:w="3402" w:type="dxa"/>
          </w:tcPr>
          <w:p w14:paraId="3F92473B" w14:textId="0F759B52" w:rsidR="00DA5561" w:rsidRPr="009264E8" w:rsidRDefault="00DA5561" w:rsidP="00E6024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lastRenderedPageBreak/>
              <w:t>USGS interactive fault map (http://earthquake.usgs.gov/hazard</w:t>
            </w:r>
            <w:r w:rsidRPr="009264E8">
              <w:rPr>
                <w:sz w:val="20"/>
                <w:szCs w:val="20"/>
                <w:lang w:val="en-US"/>
              </w:rPr>
              <w:lastRenderedPageBreak/>
              <w:t>s/qfaults/map)</w:t>
            </w:r>
          </w:p>
        </w:tc>
      </w:tr>
      <w:tr w:rsidR="00DA5561" w14:paraId="3F7951CB" w14:textId="77777777" w:rsidTr="00DA5561">
        <w:tc>
          <w:tcPr>
            <w:tcW w:w="709" w:type="dxa"/>
          </w:tcPr>
          <w:p w14:paraId="387D3B09" w14:textId="2CE1DAE9" w:rsidR="00DA5561" w:rsidRPr="009264E8" w:rsidRDefault="00DA5561" w:rsidP="00DD1F1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1559" w:type="dxa"/>
          </w:tcPr>
          <w:p w14:paraId="6423E89F" w14:textId="0489C618" w:rsidR="00DA5561" w:rsidRPr="009264E8" w:rsidRDefault="00DA5561" w:rsidP="00DD1F1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San Andreas</w:t>
            </w:r>
            <w:r w:rsidR="005120FF">
              <w:rPr>
                <w:sz w:val="20"/>
                <w:szCs w:val="20"/>
                <w:lang w:val="en-US"/>
              </w:rPr>
              <w:t xml:space="preserve"> fault</w:t>
            </w:r>
          </w:p>
          <w:p w14:paraId="1EF6F88F" w14:textId="20D1592F" w:rsidR="00DA5561" w:rsidRPr="009264E8" w:rsidRDefault="00DA5561" w:rsidP="00830EA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7B13682" w14:textId="12D51CE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276" w:type="dxa"/>
          </w:tcPr>
          <w:p w14:paraId="50CB8525" w14:textId="7569CCA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~1300</w:t>
            </w:r>
          </w:p>
          <w:p w14:paraId="7F758CF8" w14:textId="757C068C" w:rsidR="00DA5561" w:rsidRPr="009264E8" w:rsidRDefault="00DA5561" w:rsidP="00F05728">
            <w:pPr>
              <w:spacing w:after="12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DD64081" w14:textId="48D83D6A" w:rsidR="00DA5561" w:rsidRPr="009264E8" w:rsidRDefault="00DA5561" w:rsidP="00E6024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~275 </w:t>
            </w:r>
          </w:p>
        </w:tc>
        <w:tc>
          <w:tcPr>
            <w:tcW w:w="1842" w:type="dxa"/>
          </w:tcPr>
          <w:p w14:paraId="140B234E" w14:textId="71C9387F" w:rsidR="00DA5561" w:rsidRPr="009264E8" w:rsidRDefault="00DA5561" w:rsidP="00E6024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~90</w:t>
            </w:r>
          </w:p>
        </w:tc>
        <w:tc>
          <w:tcPr>
            <w:tcW w:w="1843" w:type="dxa"/>
          </w:tcPr>
          <w:p w14:paraId="657E03E2" w14:textId="7B0CE0EA" w:rsidR="00DA5561" w:rsidRPr="009264E8" w:rsidRDefault="00DA5561" w:rsidP="00E6024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~40 </w:t>
            </w:r>
          </w:p>
        </w:tc>
        <w:tc>
          <w:tcPr>
            <w:tcW w:w="1843" w:type="dxa"/>
          </w:tcPr>
          <w:p w14:paraId="2484E488" w14:textId="403E1063" w:rsidR="00DA5561" w:rsidRPr="009264E8" w:rsidRDefault="00DA5561" w:rsidP="00E6024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~15 </w:t>
            </w:r>
          </w:p>
        </w:tc>
        <w:tc>
          <w:tcPr>
            <w:tcW w:w="3402" w:type="dxa"/>
          </w:tcPr>
          <w:p w14:paraId="5067F6F1" w14:textId="79317F53" w:rsidR="00DA5561" w:rsidRPr="009264E8" w:rsidRDefault="00DA5561" w:rsidP="00337100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USGS interactive fault map (http://earthquake.usgs.gov/hazards/qfaults/map)</w:t>
            </w:r>
          </w:p>
        </w:tc>
      </w:tr>
      <w:tr w:rsidR="00DA5561" w:rsidRPr="00CB734F" w14:paraId="3BDB9D4D" w14:textId="77777777" w:rsidTr="00DA5561">
        <w:tc>
          <w:tcPr>
            <w:tcW w:w="709" w:type="dxa"/>
          </w:tcPr>
          <w:p w14:paraId="5BE21E0B" w14:textId="6F97E672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</w:tcPr>
          <w:p w14:paraId="6ADE79D1" w14:textId="0B15DCA1" w:rsidR="00DA5561" w:rsidRPr="009264E8" w:rsidRDefault="00DA5561" w:rsidP="00176E7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San Jacinto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264E8">
              <w:rPr>
                <w:sz w:val="20"/>
                <w:szCs w:val="20"/>
                <w:lang w:val="en-US"/>
              </w:rPr>
              <w:t>fault</w:t>
            </w:r>
          </w:p>
        </w:tc>
        <w:tc>
          <w:tcPr>
            <w:tcW w:w="851" w:type="dxa"/>
          </w:tcPr>
          <w:p w14:paraId="73F42662" w14:textId="3E6F727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276" w:type="dxa"/>
          </w:tcPr>
          <w:p w14:paraId="78716753" w14:textId="6C44732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~250</w:t>
            </w:r>
          </w:p>
        </w:tc>
        <w:tc>
          <w:tcPr>
            <w:tcW w:w="1701" w:type="dxa"/>
          </w:tcPr>
          <w:p w14:paraId="3195C062" w14:textId="14FF0D6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~100</w:t>
            </w:r>
          </w:p>
        </w:tc>
        <w:tc>
          <w:tcPr>
            <w:tcW w:w="1842" w:type="dxa"/>
          </w:tcPr>
          <w:p w14:paraId="5902325D" w14:textId="300D092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</w:t>
            </w:r>
          </w:p>
        </w:tc>
        <w:tc>
          <w:tcPr>
            <w:tcW w:w="1843" w:type="dxa"/>
          </w:tcPr>
          <w:p w14:paraId="4452ED8E" w14:textId="65E87C3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843" w:type="dxa"/>
          </w:tcPr>
          <w:p w14:paraId="3C703D46" w14:textId="27F0D7D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 ~15</w:t>
            </w:r>
          </w:p>
        </w:tc>
        <w:tc>
          <w:tcPr>
            <w:tcW w:w="3402" w:type="dxa"/>
          </w:tcPr>
          <w:p w14:paraId="38EB745B" w14:textId="0F82A7C1" w:rsidR="00DA5561" w:rsidRPr="009264E8" w:rsidRDefault="00DA5561" w:rsidP="00D3634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Dorsey, 2002 (Fig. 1) (see also Dorsey et al., 2012)</w:t>
            </w:r>
          </w:p>
        </w:tc>
      </w:tr>
      <w:tr w:rsidR="00DA5561" w14:paraId="157C7D3D" w14:textId="77777777" w:rsidTr="00DA5561">
        <w:tc>
          <w:tcPr>
            <w:tcW w:w="709" w:type="dxa"/>
          </w:tcPr>
          <w:p w14:paraId="113643A9" w14:textId="3170A06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559" w:type="dxa"/>
          </w:tcPr>
          <w:p w14:paraId="5E402135" w14:textId="34813E3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San 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Sebastiano-Marsicano</w:t>
            </w:r>
            <w:proofErr w:type="spellEnd"/>
            <w:r w:rsidR="005120FF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5D46D401" w14:textId="2996B9E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01401DD5" w14:textId="1665B8B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~40</w:t>
            </w:r>
          </w:p>
        </w:tc>
        <w:tc>
          <w:tcPr>
            <w:tcW w:w="1701" w:type="dxa"/>
          </w:tcPr>
          <w:p w14:paraId="13C52456" w14:textId="7189BD0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1842" w:type="dxa"/>
          </w:tcPr>
          <w:p w14:paraId="0D0FB450" w14:textId="4366591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~12</w:t>
            </w:r>
          </w:p>
        </w:tc>
        <w:tc>
          <w:tcPr>
            <w:tcW w:w="1843" w:type="dxa"/>
          </w:tcPr>
          <w:p w14:paraId="2E852177" w14:textId="48551E0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~55</w:t>
            </w:r>
          </w:p>
        </w:tc>
        <w:tc>
          <w:tcPr>
            <w:tcW w:w="1843" w:type="dxa"/>
          </w:tcPr>
          <w:p w14:paraId="44619D7F" w14:textId="2CACE07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3402" w:type="dxa"/>
          </w:tcPr>
          <w:p w14:paraId="6FE3E95D" w14:textId="7F24A05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Benedetti et al., 2013 (Fig. 2b)</w:t>
            </w:r>
          </w:p>
        </w:tc>
      </w:tr>
      <w:tr w:rsidR="00DA5561" w14:paraId="121EC9FC" w14:textId="77777777" w:rsidTr="00DA5561">
        <w:tc>
          <w:tcPr>
            <w:tcW w:w="709" w:type="dxa"/>
          </w:tcPr>
          <w:p w14:paraId="2FC58539" w14:textId="48C61BA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559" w:type="dxa"/>
          </w:tcPr>
          <w:p w14:paraId="4AB4FC6E" w14:textId="08E7173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Solitario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Canyon fault</w:t>
            </w:r>
          </w:p>
        </w:tc>
        <w:tc>
          <w:tcPr>
            <w:tcW w:w="851" w:type="dxa"/>
          </w:tcPr>
          <w:p w14:paraId="193E2B28" w14:textId="4729394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3CAD74F2" w14:textId="577CD14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~13</w:t>
            </w:r>
          </w:p>
        </w:tc>
        <w:tc>
          <w:tcPr>
            <w:tcW w:w="1701" w:type="dxa"/>
          </w:tcPr>
          <w:p w14:paraId="005F1313" w14:textId="47EE66E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~4.4</w:t>
            </w:r>
          </w:p>
        </w:tc>
        <w:tc>
          <w:tcPr>
            <w:tcW w:w="1842" w:type="dxa"/>
          </w:tcPr>
          <w:p w14:paraId="27AAE891" w14:textId="6A76076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~1.2</w:t>
            </w:r>
          </w:p>
        </w:tc>
        <w:tc>
          <w:tcPr>
            <w:tcW w:w="1843" w:type="dxa"/>
          </w:tcPr>
          <w:p w14:paraId="6351D8FE" w14:textId="1C6BEF6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~65</w:t>
            </w:r>
          </w:p>
        </w:tc>
        <w:tc>
          <w:tcPr>
            <w:tcW w:w="1843" w:type="dxa"/>
          </w:tcPr>
          <w:p w14:paraId="010A5D39" w14:textId="16208B3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16B0A7B7" w14:textId="5551068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Ferrill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et al., 1999 (Fig. 3c)</w:t>
            </w:r>
          </w:p>
        </w:tc>
      </w:tr>
      <w:tr w:rsidR="00DA5561" w14:paraId="2B883BCE" w14:textId="77777777" w:rsidTr="00DA5561">
        <w:tc>
          <w:tcPr>
            <w:tcW w:w="709" w:type="dxa"/>
          </w:tcPr>
          <w:p w14:paraId="2F2AEBDA" w14:textId="731EE0A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559" w:type="dxa"/>
          </w:tcPr>
          <w:p w14:paraId="3AF6E241" w14:textId="2B767A1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Solitario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Canyon-Iron Ridge fault system</w:t>
            </w:r>
          </w:p>
        </w:tc>
        <w:tc>
          <w:tcPr>
            <w:tcW w:w="851" w:type="dxa"/>
          </w:tcPr>
          <w:p w14:paraId="2C52B8F2" w14:textId="3E5D883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7C8DF3E0" w14:textId="253EE0F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~16</w:t>
            </w:r>
          </w:p>
        </w:tc>
        <w:tc>
          <w:tcPr>
            <w:tcW w:w="1701" w:type="dxa"/>
          </w:tcPr>
          <w:p w14:paraId="6CD1E204" w14:textId="44E480B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~8</w:t>
            </w:r>
          </w:p>
        </w:tc>
        <w:tc>
          <w:tcPr>
            <w:tcW w:w="1842" w:type="dxa"/>
          </w:tcPr>
          <w:p w14:paraId="4AD8A738" w14:textId="66702C8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~2.5</w:t>
            </w:r>
          </w:p>
        </w:tc>
        <w:tc>
          <w:tcPr>
            <w:tcW w:w="1843" w:type="dxa"/>
          </w:tcPr>
          <w:p w14:paraId="7493DB3E" w14:textId="4678EC8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~65</w:t>
            </w:r>
          </w:p>
        </w:tc>
        <w:tc>
          <w:tcPr>
            <w:tcW w:w="1843" w:type="dxa"/>
          </w:tcPr>
          <w:p w14:paraId="674ED9CC" w14:textId="4FF5ED4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</w:t>
            </w:r>
          </w:p>
        </w:tc>
        <w:tc>
          <w:tcPr>
            <w:tcW w:w="3402" w:type="dxa"/>
          </w:tcPr>
          <w:p w14:paraId="5706661D" w14:textId="29F861F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Ferrill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et al., 1999 (Fig. 3c)</w:t>
            </w:r>
          </w:p>
        </w:tc>
      </w:tr>
      <w:tr w:rsidR="00DA5561" w14:paraId="1C07D76B" w14:textId="77777777" w:rsidTr="00DA5561">
        <w:tc>
          <w:tcPr>
            <w:tcW w:w="709" w:type="dxa"/>
          </w:tcPr>
          <w:p w14:paraId="472E39F8" w14:textId="029C64F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59" w:type="dxa"/>
          </w:tcPr>
          <w:p w14:paraId="5D1811D6" w14:textId="03A5DF8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Alkyonides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7F712CF5" w14:textId="130D3C2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33D6BAA0" w14:textId="7C06335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~46</w:t>
            </w:r>
          </w:p>
        </w:tc>
        <w:tc>
          <w:tcPr>
            <w:tcW w:w="1701" w:type="dxa"/>
          </w:tcPr>
          <w:p w14:paraId="4FC25D46" w14:textId="47B782E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~27</w:t>
            </w:r>
          </w:p>
        </w:tc>
        <w:tc>
          <w:tcPr>
            <w:tcW w:w="1842" w:type="dxa"/>
          </w:tcPr>
          <w:p w14:paraId="6E811567" w14:textId="43AA553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~8.5</w:t>
            </w:r>
          </w:p>
        </w:tc>
        <w:tc>
          <w:tcPr>
            <w:tcW w:w="1843" w:type="dxa"/>
          </w:tcPr>
          <w:p w14:paraId="691EFB7D" w14:textId="0964886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843" w:type="dxa"/>
          </w:tcPr>
          <w:p w14:paraId="64A2D9FA" w14:textId="75AA461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5691376B" w14:textId="5E4791B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Morewood and Roberts, 1999 (Fig. 3)</w:t>
            </w:r>
          </w:p>
        </w:tc>
      </w:tr>
      <w:tr w:rsidR="00DA5561" w14:paraId="4DD7817A" w14:textId="77777777" w:rsidTr="00DA5561">
        <w:tc>
          <w:tcPr>
            <w:tcW w:w="709" w:type="dxa"/>
          </w:tcPr>
          <w:p w14:paraId="75B43D65" w14:textId="44DA47E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559" w:type="dxa"/>
          </w:tcPr>
          <w:p w14:paraId="7F68A6A2" w14:textId="6ED0EBF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Oquirrh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Mountains fault</w:t>
            </w:r>
          </w:p>
        </w:tc>
        <w:tc>
          <w:tcPr>
            <w:tcW w:w="851" w:type="dxa"/>
          </w:tcPr>
          <w:p w14:paraId="254F323F" w14:textId="32C3536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03DE8967" w14:textId="0A63128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~25</w:t>
            </w:r>
          </w:p>
        </w:tc>
        <w:tc>
          <w:tcPr>
            <w:tcW w:w="1701" w:type="dxa"/>
          </w:tcPr>
          <w:p w14:paraId="68F0CDFE" w14:textId="0AECEC6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South: ~10</w:t>
            </w:r>
          </w:p>
        </w:tc>
        <w:tc>
          <w:tcPr>
            <w:tcW w:w="1842" w:type="dxa"/>
          </w:tcPr>
          <w:p w14:paraId="025FEE4B" w14:textId="7EDF5B6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South: ~3.5</w:t>
            </w:r>
          </w:p>
        </w:tc>
        <w:tc>
          <w:tcPr>
            <w:tcW w:w="1843" w:type="dxa"/>
          </w:tcPr>
          <w:p w14:paraId="1C76B3A8" w14:textId="17EBBAD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1843" w:type="dxa"/>
          </w:tcPr>
          <w:p w14:paraId="6A47660A" w14:textId="24DB4B7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3C637049" w14:textId="50D2691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Wu and Bruhn, 1994 (Fig. 2)</w:t>
            </w:r>
          </w:p>
        </w:tc>
      </w:tr>
      <w:tr w:rsidR="00DA5561" w14:paraId="4E6B9E1C" w14:textId="77777777" w:rsidTr="00DA5561">
        <w:tc>
          <w:tcPr>
            <w:tcW w:w="709" w:type="dxa"/>
          </w:tcPr>
          <w:p w14:paraId="1EF50E0B" w14:textId="0505192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</w:tcPr>
          <w:p w14:paraId="592B6528" w14:textId="5D3D9AD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Strathspey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>-Brent-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Statfjord</w:t>
            </w:r>
            <w:proofErr w:type="spellEnd"/>
            <w:r w:rsidR="005120FF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70D49415" w14:textId="79B62A4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2641E0B1" w14:textId="5C80932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&gt; 62</w:t>
            </w:r>
          </w:p>
        </w:tc>
        <w:tc>
          <w:tcPr>
            <w:tcW w:w="1701" w:type="dxa"/>
          </w:tcPr>
          <w:p w14:paraId="4855B1E7" w14:textId="3C1EF79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~15.6</w:t>
            </w:r>
          </w:p>
        </w:tc>
        <w:tc>
          <w:tcPr>
            <w:tcW w:w="1842" w:type="dxa"/>
          </w:tcPr>
          <w:p w14:paraId="1A96CF53" w14:textId="24C5112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</w:t>
            </w:r>
          </w:p>
        </w:tc>
        <w:tc>
          <w:tcPr>
            <w:tcW w:w="1843" w:type="dxa"/>
          </w:tcPr>
          <w:p w14:paraId="269C65EA" w14:textId="14537C9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~50</w:t>
            </w:r>
          </w:p>
        </w:tc>
        <w:tc>
          <w:tcPr>
            <w:tcW w:w="1843" w:type="dxa"/>
          </w:tcPr>
          <w:p w14:paraId="58FE95C7" w14:textId="4319135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39C4CFFB" w14:textId="66AD682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McLeod et al., 2000 (Fig. 7)</w:t>
            </w:r>
          </w:p>
        </w:tc>
      </w:tr>
      <w:tr w:rsidR="00DA5561" w14:paraId="6528E23D" w14:textId="77777777" w:rsidTr="00DA5561">
        <w:tc>
          <w:tcPr>
            <w:tcW w:w="709" w:type="dxa"/>
          </w:tcPr>
          <w:p w14:paraId="3E404FFF" w14:textId="2FA39CE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59" w:type="dxa"/>
          </w:tcPr>
          <w:p w14:paraId="42CDADF0" w14:textId="6AF052F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Taupo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rift fault #7</w:t>
            </w:r>
          </w:p>
        </w:tc>
        <w:tc>
          <w:tcPr>
            <w:tcW w:w="851" w:type="dxa"/>
          </w:tcPr>
          <w:p w14:paraId="1C026954" w14:textId="2B5D7FF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2E0CE575" w14:textId="3D02A13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~6.3</w:t>
            </w:r>
          </w:p>
        </w:tc>
        <w:tc>
          <w:tcPr>
            <w:tcW w:w="1701" w:type="dxa"/>
          </w:tcPr>
          <w:p w14:paraId="2F6D6AE4" w14:textId="3A738F2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~1.6</w:t>
            </w:r>
          </w:p>
        </w:tc>
        <w:tc>
          <w:tcPr>
            <w:tcW w:w="1842" w:type="dxa"/>
          </w:tcPr>
          <w:p w14:paraId="4393AC98" w14:textId="10389B9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~0.54</w:t>
            </w:r>
          </w:p>
        </w:tc>
        <w:tc>
          <w:tcPr>
            <w:tcW w:w="1843" w:type="dxa"/>
          </w:tcPr>
          <w:p w14:paraId="20DAE81F" w14:textId="21A8019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43" w:type="dxa"/>
          </w:tcPr>
          <w:p w14:paraId="238F6E05" w14:textId="5202A77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</w:t>
            </w:r>
          </w:p>
        </w:tc>
        <w:tc>
          <w:tcPr>
            <w:tcW w:w="3402" w:type="dxa"/>
          </w:tcPr>
          <w:p w14:paraId="00EB7D0C" w14:textId="4ADE6A00" w:rsidR="00DA5561" w:rsidRPr="00CB734F" w:rsidRDefault="00DA5561" w:rsidP="00050AAC">
            <w:pPr>
              <w:spacing w:after="120"/>
              <w:jc w:val="center"/>
              <w:rPr>
                <w:sz w:val="20"/>
                <w:szCs w:val="20"/>
              </w:rPr>
            </w:pPr>
            <w:r w:rsidRPr="00CB734F">
              <w:rPr>
                <w:sz w:val="20"/>
                <w:szCs w:val="20"/>
              </w:rPr>
              <w:t xml:space="preserve">Nicol et </w:t>
            </w:r>
            <w:proofErr w:type="gramStart"/>
            <w:r w:rsidRPr="00CB734F">
              <w:rPr>
                <w:sz w:val="20"/>
                <w:szCs w:val="20"/>
              </w:rPr>
              <w:t>al.,</w:t>
            </w:r>
            <w:proofErr w:type="gramEnd"/>
            <w:r w:rsidRPr="00CB734F">
              <w:rPr>
                <w:sz w:val="20"/>
                <w:szCs w:val="20"/>
              </w:rPr>
              <w:t xml:space="preserve"> 2010 (Fig. 4, </w:t>
            </w:r>
            <w:proofErr w:type="spellStart"/>
            <w:r w:rsidRPr="00CB734F">
              <w:rPr>
                <w:sz w:val="20"/>
                <w:szCs w:val="20"/>
              </w:rPr>
              <w:t>faults</w:t>
            </w:r>
            <w:proofErr w:type="spellEnd"/>
            <w:r w:rsidRPr="00CB734F">
              <w:rPr>
                <w:sz w:val="20"/>
                <w:szCs w:val="20"/>
              </w:rPr>
              <w:t xml:space="preserve"> 7+6)</w:t>
            </w:r>
          </w:p>
        </w:tc>
      </w:tr>
      <w:tr w:rsidR="00DA5561" w14:paraId="12585705" w14:textId="77777777" w:rsidTr="00DA5561">
        <w:tc>
          <w:tcPr>
            <w:tcW w:w="709" w:type="dxa"/>
          </w:tcPr>
          <w:p w14:paraId="5DF3C472" w14:textId="32C8182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559" w:type="dxa"/>
          </w:tcPr>
          <w:p w14:paraId="0CBE072C" w14:textId="55A99E6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Thousand Springs-Warm Springs fault</w:t>
            </w:r>
          </w:p>
        </w:tc>
        <w:tc>
          <w:tcPr>
            <w:tcW w:w="851" w:type="dxa"/>
          </w:tcPr>
          <w:p w14:paraId="7125D7A8" w14:textId="219DF3D8" w:rsidR="00DA5561" w:rsidRPr="009264E8" w:rsidRDefault="00DA5561" w:rsidP="00050AAC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53CF47F8" w14:textId="7D18E433" w:rsidR="00DA5561" w:rsidRPr="009264E8" w:rsidRDefault="00DA5561" w:rsidP="00050AAC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701" w:type="dxa"/>
          </w:tcPr>
          <w:p w14:paraId="5208E7F5" w14:textId="34A6494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~14</w:t>
            </w:r>
          </w:p>
        </w:tc>
        <w:tc>
          <w:tcPr>
            <w:tcW w:w="1842" w:type="dxa"/>
          </w:tcPr>
          <w:p w14:paraId="3AB78D4D" w14:textId="03981EC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</w:t>
            </w:r>
          </w:p>
        </w:tc>
        <w:tc>
          <w:tcPr>
            <w:tcW w:w="1843" w:type="dxa"/>
          </w:tcPr>
          <w:p w14:paraId="2EB4A102" w14:textId="177140A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~45</w:t>
            </w:r>
          </w:p>
        </w:tc>
        <w:tc>
          <w:tcPr>
            <w:tcW w:w="1843" w:type="dxa"/>
          </w:tcPr>
          <w:p w14:paraId="6291A1FE" w14:textId="3C8238E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~30</w:t>
            </w:r>
          </w:p>
        </w:tc>
        <w:tc>
          <w:tcPr>
            <w:tcW w:w="3402" w:type="dxa"/>
          </w:tcPr>
          <w:p w14:paraId="08006611" w14:textId="03EE6808" w:rsidR="00DA5561" w:rsidRPr="009264E8" w:rsidRDefault="00DA5561" w:rsidP="00B576C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Crone and Haller, 1991 (Fig. 2)</w:t>
            </w:r>
          </w:p>
        </w:tc>
      </w:tr>
      <w:tr w:rsidR="00DA5561" w14:paraId="32ADDBFF" w14:textId="77777777" w:rsidTr="00DA5561">
        <w:tc>
          <w:tcPr>
            <w:tcW w:w="709" w:type="dxa"/>
          </w:tcPr>
          <w:p w14:paraId="61CDC0A6" w14:textId="4154354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559" w:type="dxa"/>
          </w:tcPr>
          <w:p w14:paraId="02CB65D6" w14:textId="67DD388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Unamed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fault, Bishop Tuffs </w:t>
            </w:r>
          </w:p>
        </w:tc>
        <w:tc>
          <w:tcPr>
            <w:tcW w:w="851" w:type="dxa"/>
          </w:tcPr>
          <w:p w14:paraId="571925A9" w14:textId="2C253B0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7FE90840" w14:textId="2B57172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</w:t>
            </w:r>
          </w:p>
        </w:tc>
        <w:tc>
          <w:tcPr>
            <w:tcW w:w="1701" w:type="dxa"/>
          </w:tcPr>
          <w:p w14:paraId="0F452813" w14:textId="402A01E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~2.4</w:t>
            </w:r>
          </w:p>
        </w:tc>
        <w:tc>
          <w:tcPr>
            <w:tcW w:w="1842" w:type="dxa"/>
          </w:tcPr>
          <w:p w14:paraId="2C0800C6" w14:textId="50280E3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</w:t>
            </w:r>
          </w:p>
        </w:tc>
        <w:tc>
          <w:tcPr>
            <w:tcW w:w="1843" w:type="dxa"/>
          </w:tcPr>
          <w:p w14:paraId="09C189E1" w14:textId="36479D9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~25</w:t>
            </w:r>
          </w:p>
        </w:tc>
        <w:tc>
          <w:tcPr>
            <w:tcW w:w="1843" w:type="dxa"/>
          </w:tcPr>
          <w:p w14:paraId="7AC6B7B5" w14:textId="3536ABE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13C61F5D" w14:textId="788B103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Dawers and Anders, 1995 (Fig. 4)</w:t>
            </w:r>
          </w:p>
        </w:tc>
      </w:tr>
      <w:tr w:rsidR="00DA5561" w:rsidRPr="00CB734F" w14:paraId="57FCDBFC" w14:textId="77777777" w:rsidTr="00DA5561">
        <w:tc>
          <w:tcPr>
            <w:tcW w:w="709" w:type="dxa"/>
          </w:tcPr>
          <w:p w14:paraId="06E1BEC0" w14:textId="568D218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1559" w:type="dxa"/>
            <w:shd w:val="clear" w:color="auto" w:fill="auto"/>
          </w:tcPr>
          <w:p w14:paraId="629D5D89" w14:textId="693E994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Unamed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 1, 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Waterpocket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monocline </w:t>
            </w:r>
          </w:p>
        </w:tc>
        <w:tc>
          <w:tcPr>
            <w:tcW w:w="851" w:type="dxa"/>
          </w:tcPr>
          <w:p w14:paraId="331FD652" w14:textId="77777777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  <w:p w14:paraId="4A1A29A2" w14:textId="79B8D3A3" w:rsidR="00DA5561" w:rsidRPr="009264E8" w:rsidRDefault="00DA5561" w:rsidP="00092A9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(observed along width)</w:t>
            </w:r>
          </w:p>
        </w:tc>
        <w:tc>
          <w:tcPr>
            <w:tcW w:w="1276" w:type="dxa"/>
          </w:tcPr>
          <w:p w14:paraId="68BC1606" w14:textId="397B1A3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Width: 0.094</w:t>
            </w:r>
          </w:p>
        </w:tc>
        <w:tc>
          <w:tcPr>
            <w:tcW w:w="1701" w:type="dxa"/>
          </w:tcPr>
          <w:p w14:paraId="12A5CCC8" w14:textId="66B036B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~0.02</w:t>
            </w:r>
          </w:p>
        </w:tc>
        <w:tc>
          <w:tcPr>
            <w:tcW w:w="1842" w:type="dxa"/>
          </w:tcPr>
          <w:p w14:paraId="7DADDE02" w14:textId="11305E7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~0.017</w:t>
            </w:r>
          </w:p>
        </w:tc>
        <w:tc>
          <w:tcPr>
            <w:tcW w:w="1843" w:type="dxa"/>
          </w:tcPr>
          <w:p w14:paraId="122AEC43" w14:textId="4987572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~50</w:t>
            </w:r>
          </w:p>
        </w:tc>
        <w:tc>
          <w:tcPr>
            <w:tcW w:w="1843" w:type="dxa"/>
          </w:tcPr>
          <w:p w14:paraId="13B691CC" w14:textId="1B6E287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5E03EF36" w14:textId="05CE0D0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Davatzes and Aydin, 2003 (fig.6a)</w:t>
            </w:r>
          </w:p>
        </w:tc>
      </w:tr>
      <w:tr w:rsidR="00DA5561" w:rsidRPr="00CB734F" w14:paraId="65669D03" w14:textId="77777777" w:rsidTr="00DA5561">
        <w:tc>
          <w:tcPr>
            <w:tcW w:w="709" w:type="dxa"/>
          </w:tcPr>
          <w:p w14:paraId="728CB228" w14:textId="7F4C73C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0EEBDF1B" w14:textId="17BFF11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Unamed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 2, </w:t>
            </w:r>
            <w:proofErr w:type="spellStart"/>
            <w:r w:rsidRPr="009264E8">
              <w:rPr>
                <w:sz w:val="20"/>
                <w:szCs w:val="20"/>
                <w:lang w:val="en-US"/>
              </w:rPr>
              <w:t>Waterpocket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monocline </w:t>
            </w:r>
          </w:p>
        </w:tc>
        <w:tc>
          <w:tcPr>
            <w:tcW w:w="851" w:type="dxa"/>
          </w:tcPr>
          <w:p w14:paraId="09DACD61" w14:textId="6F388E6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2A05A90E" w14:textId="5390315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&gt;1.5</w:t>
            </w:r>
          </w:p>
        </w:tc>
        <w:tc>
          <w:tcPr>
            <w:tcW w:w="1701" w:type="dxa"/>
          </w:tcPr>
          <w:p w14:paraId="36333502" w14:textId="1A05836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~0.75</w:t>
            </w:r>
          </w:p>
        </w:tc>
        <w:tc>
          <w:tcPr>
            <w:tcW w:w="1842" w:type="dxa"/>
          </w:tcPr>
          <w:p w14:paraId="65856D09" w14:textId="13D2965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~0.3</w:t>
            </w:r>
          </w:p>
        </w:tc>
        <w:tc>
          <w:tcPr>
            <w:tcW w:w="1843" w:type="dxa"/>
          </w:tcPr>
          <w:p w14:paraId="4AB4CDE8" w14:textId="5A2227B6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843" w:type="dxa"/>
          </w:tcPr>
          <w:p w14:paraId="154C1CBE" w14:textId="74BABD0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~25</w:t>
            </w:r>
          </w:p>
        </w:tc>
        <w:tc>
          <w:tcPr>
            <w:tcW w:w="3402" w:type="dxa"/>
          </w:tcPr>
          <w:p w14:paraId="23F7683C" w14:textId="497BE3B8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Davatzes and Aydin 2003 (fig.6d)</w:t>
            </w:r>
          </w:p>
        </w:tc>
      </w:tr>
      <w:tr w:rsidR="00DA5561" w14:paraId="46C40F57" w14:textId="77777777" w:rsidTr="00DA5561">
        <w:tc>
          <w:tcPr>
            <w:tcW w:w="709" w:type="dxa"/>
          </w:tcPr>
          <w:p w14:paraId="5C9FF457" w14:textId="3303D3BF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14:paraId="0D265E5B" w14:textId="1F6A7E3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Velino-Magnola</w:t>
            </w:r>
            <w:r w:rsidR="005120FF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13FE82AE" w14:textId="0EDD5214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</w:tcPr>
          <w:p w14:paraId="25E81AD7" w14:textId="5BA27FBD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~45</w:t>
            </w:r>
          </w:p>
        </w:tc>
        <w:tc>
          <w:tcPr>
            <w:tcW w:w="1701" w:type="dxa"/>
          </w:tcPr>
          <w:p w14:paraId="545A6479" w14:textId="41434FA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~22</w:t>
            </w:r>
          </w:p>
        </w:tc>
        <w:tc>
          <w:tcPr>
            <w:tcW w:w="1842" w:type="dxa"/>
          </w:tcPr>
          <w:p w14:paraId="2ACD62E8" w14:textId="2985E6CC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~11</w:t>
            </w:r>
          </w:p>
        </w:tc>
        <w:tc>
          <w:tcPr>
            <w:tcW w:w="1843" w:type="dxa"/>
          </w:tcPr>
          <w:p w14:paraId="245815CE" w14:textId="15FF9CF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~50</w:t>
            </w:r>
          </w:p>
        </w:tc>
        <w:tc>
          <w:tcPr>
            <w:tcW w:w="1843" w:type="dxa"/>
          </w:tcPr>
          <w:p w14:paraId="62494A2A" w14:textId="3186B703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~20</w:t>
            </w:r>
          </w:p>
        </w:tc>
        <w:tc>
          <w:tcPr>
            <w:tcW w:w="3402" w:type="dxa"/>
          </w:tcPr>
          <w:p w14:paraId="30AF0E4B" w14:textId="1827C981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Schlagenhauf et al., 2011 (Fig.1)</w:t>
            </w:r>
          </w:p>
        </w:tc>
      </w:tr>
      <w:tr w:rsidR="00DA5561" w14:paraId="6EF97E82" w14:textId="77777777" w:rsidTr="00DA5561">
        <w:tc>
          <w:tcPr>
            <w:tcW w:w="709" w:type="dxa"/>
          </w:tcPr>
          <w:p w14:paraId="2B8CA893" w14:textId="34DF107E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14:paraId="21A853E7" w14:textId="2E8DC96A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64E8">
              <w:rPr>
                <w:sz w:val="20"/>
                <w:szCs w:val="20"/>
                <w:lang w:val="en-US"/>
              </w:rPr>
              <w:t>Villefort</w:t>
            </w:r>
            <w:proofErr w:type="spellEnd"/>
            <w:r w:rsidRPr="009264E8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851" w:type="dxa"/>
          </w:tcPr>
          <w:p w14:paraId="51A77DB6" w14:textId="4811D84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276" w:type="dxa"/>
          </w:tcPr>
          <w:p w14:paraId="218EA32F" w14:textId="0E05E48B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~70</w:t>
            </w:r>
          </w:p>
        </w:tc>
        <w:tc>
          <w:tcPr>
            <w:tcW w:w="1701" w:type="dxa"/>
          </w:tcPr>
          <w:p w14:paraId="78170369" w14:textId="6BF04800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~37</w:t>
            </w:r>
          </w:p>
        </w:tc>
        <w:tc>
          <w:tcPr>
            <w:tcW w:w="1842" w:type="dxa"/>
          </w:tcPr>
          <w:p w14:paraId="25EABBF9" w14:textId="38A13005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~15</w:t>
            </w:r>
          </w:p>
        </w:tc>
        <w:tc>
          <w:tcPr>
            <w:tcW w:w="1843" w:type="dxa"/>
          </w:tcPr>
          <w:p w14:paraId="3939F76E" w14:textId="317FBF9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~65</w:t>
            </w:r>
          </w:p>
        </w:tc>
        <w:tc>
          <w:tcPr>
            <w:tcW w:w="1843" w:type="dxa"/>
          </w:tcPr>
          <w:p w14:paraId="7FD604BC" w14:textId="7294DE52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~30</w:t>
            </w:r>
          </w:p>
        </w:tc>
        <w:tc>
          <w:tcPr>
            <w:tcW w:w="3402" w:type="dxa"/>
          </w:tcPr>
          <w:p w14:paraId="50808EF7" w14:textId="5421E6D9" w:rsidR="00DA5561" w:rsidRPr="009264E8" w:rsidRDefault="00DA5561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9264E8">
              <w:rPr>
                <w:sz w:val="20"/>
                <w:szCs w:val="20"/>
                <w:lang w:val="en-US"/>
              </w:rPr>
              <w:t>Granier, 1985 (Fig. 1)</w:t>
            </w:r>
          </w:p>
        </w:tc>
      </w:tr>
    </w:tbl>
    <w:p w14:paraId="0364B2DE" w14:textId="77777777" w:rsidR="00EC445A" w:rsidRDefault="00EC445A">
      <w:pPr>
        <w:sectPr w:rsidR="00EC445A" w:rsidSect="00EC445A">
          <w:type w:val="continuous"/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00CC28" w14:textId="24DE68BC" w:rsidR="00F01791" w:rsidRDefault="00F01791"/>
    <w:p w14:paraId="53795986" w14:textId="63C890D6" w:rsidR="005120FF" w:rsidRPr="00CB734F" w:rsidRDefault="005120FF" w:rsidP="00DD1FC7">
      <w:pPr>
        <w:jc w:val="both"/>
        <w:outlineLvl w:val="0"/>
        <w:rPr>
          <w:i/>
          <w:sz w:val="20"/>
          <w:szCs w:val="20"/>
          <w:lang w:val="en-US"/>
        </w:rPr>
      </w:pPr>
      <w:r w:rsidRPr="00CB734F">
        <w:rPr>
          <w:i/>
          <w:sz w:val="20"/>
          <w:szCs w:val="20"/>
          <w:lang w:val="en-US"/>
        </w:rPr>
        <w:t xml:space="preserve">* </w:t>
      </w:r>
      <w:r w:rsidR="00485614" w:rsidRPr="00CB734F">
        <w:rPr>
          <w:i/>
          <w:sz w:val="20"/>
          <w:szCs w:val="20"/>
          <w:lang w:val="en-US"/>
        </w:rPr>
        <w:t>W</w:t>
      </w:r>
      <w:r w:rsidR="00485614" w:rsidRPr="00CB734F">
        <w:rPr>
          <w:i/>
          <w:sz w:val="20"/>
          <w:szCs w:val="20"/>
          <w:vertAlign w:val="subscript"/>
          <w:lang w:val="en-US"/>
        </w:rPr>
        <w:t>sp</w:t>
      </w:r>
      <w:r w:rsidR="00485614" w:rsidRPr="00CB734F">
        <w:rPr>
          <w:i/>
          <w:sz w:val="20"/>
          <w:szCs w:val="20"/>
          <w:lang w:val="en-US"/>
        </w:rPr>
        <w:t xml:space="preserve"> is measured in map view in 91 % of the fault cases, otherwise in the vertical plane</w:t>
      </w:r>
    </w:p>
    <w:p w14:paraId="2069458D" w14:textId="77777777" w:rsidR="00485614" w:rsidRPr="00CB734F" w:rsidRDefault="00485614" w:rsidP="00DD1FC7">
      <w:pPr>
        <w:jc w:val="both"/>
        <w:outlineLvl w:val="0"/>
        <w:rPr>
          <w:i/>
          <w:sz w:val="20"/>
          <w:szCs w:val="20"/>
          <w:lang w:val="en-US"/>
        </w:rPr>
      </w:pPr>
    </w:p>
    <w:p w14:paraId="71AC0EF0" w14:textId="0E9E8898" w:rsidR="00A158B1" w:rsidRDefault="00A158B1" w:rsidP="00A158B1">
      <w:pPr>
        <w:spacing w:after="80"/>
        <w:jc w:val="both"/>
        <w:rPr>
          <w:rFonts w:ascii="Times New Roman" w:hAnsi="Times New Roman" w:cs="Times New Roman"/>
          <w:lang w:val="en-US"/>
        </w:rPr>
      </w:pPr>
      <w:r w:rsidRPr="00CE6F77">
        <w:rPr>
          <w:rFonts w:ascii="Times New Roman" w:hAnsi="Times New Roman" w:cs="Times New Roman"/>
          <w:b/>
          <w:lang w:val="en-US"/>
        </w:rPr>
        <w:t xml:space="preserve">Table </w:t>
      </w:r>
      <w:proofErr w:type="gramStart"/>
      <w:r w:rsidRPr="00CE6F77">
        <w:rPr>
          <w:rFonts w:ascii="Times New Roman" w:hAnsi="Times New Roman" w:cs="Times New Roman"/>
          <w:b/>
          <w:lang w:val="en-US"/>
        </w:rPr>
        <w:t>2 :</w:t>
      </w:r>
      <w:proofErr w:type="gramEnd"/>
      <w:r w:rsidRPr="00CE6F7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Scaling relations between parent faults and tip splay networks. Fault numbers refer to numbers in Table 1 and Fig. </w:t>
      </w:r>
      <w:proofErr w:type="gramStart"/>
      <w:r>
        <w:rPr>
          <w:rFonts w:ascii="Times New Roman" w:hAnsi="Times New Roman" w:cs="Times New Roman"/>
          <w:lang w:val="en-US"/>
        </w:rPr>
        <w:t>ES I.</w:t>
      </w:r>
      <w:proofErr w:type="gramEnd"/>
      <w:r>
        <w:rPr>
          <w:rFonts w:ascii="Times New Roman" w:hAnsi="Times New Roman" w:cs="Times New Roman"/>
          <w:lang w:val="en-US"/>
        </w:rPr>
        <w:t xml:space="preserve"> The original figures on which the measurements were done are indicated in the last column of the Table, whereas the complete list of references is provided </w:t>
      </w:r>
      <w:r w:rsidR="00CB734F">
        <w:rPr>
          <w:rFonts w:ascii="Times New Roman" w:hAnsi="Times New Roman" w:cs="Times New Roman"/>
          <w:lang w:val="en-US"/>
        </w:rPr>
        <w:t>at</w:t>
      </w:r>
      <w:r>
        <w:rPr>
          <w:rFonts w:ascii="Times New Roman" w:hAnsi="Times New Roman" w:cs="Times New Roman"/>
          <w:lang w:val="en-US"/>
        </w:rPr>
        <w:t xml:space="preserve"> the end of the Table. Measurements are done as explained in Fig. 1. </w:t>
      </w:r>
      <w:proofErr w:type="gramStart"/>
      <w:r>
        <w:rPr>
          <w:rFonts w:ascii="Times New Roman" w:hAnsi="Times New Roman" w:cs="Times New Roman"/>
          <w:lang w:val="en-US"/>
        </w:rPr>
        <w:t>Fault slip</w:t>
      </w:r>
      <w:proofErr w:type="gramEnd"/>
      <w:r>
        <w:rPr>
          <w:rFonts w:ascii="Times New Roman" w:hAnsi="Times New Roman" w:cs="Times New Roman"/>
          <w:lang w:val="en-US"/>
        </w:rPr>
        <w:t xml:space="preserve"> modes as in Table 1. The width of tip splay networks is measured in map view for 91% of the faults, and in the vertical plane for the remaining 9 % of the faults.</w:t>
      </w:r>
    </w:p>
    <w:p w14:paraId="70C60824" w14:textId="77777777" w:rsidR="00A158B1" w:rsidRPr="00CB734F" w:rsidRDefault="00A158B1" w:rsidP="00DD1FC7">
      <w:pPr>
        <w:jc w:val="both"/>
        <w:outlineLvl w:val="0"/>
        <w:rPr>
          <w:b/>
          <w:sz w:val="20"/>
          <w:szCs w:val="20"/>
          <w:lang w:val="en-US"/>
        </w:rPr>
      </w:pPr>
    </w:p>
    <w:p w14:paraId="63B7C398" w14:textId="572385C9" w:rsidR="00DD1FC7" w:rsidRPr="00CB734F" w:rsidRDefault="00DD1FC7" w:rsidP="00DD1FC7">
      <w:pPr>
        <w:jc w:val="both"/>
        <w:outlineLvl w:val="0"/>
        <w:rPr>
          <w:b/>
          <w:sz w:val="20"/>
          <w:szCs w:val="20"/>
          <w:lang w:val="en-US"/>
        </w:rPr>
      </w:pPr>
      <w:r w:rsidRPr="00CB734F">
        <w:rPr>
          <w:b/>
          <w:sz w:val="20"/>
          <w:szCs w:val="20"/>
          <w:lang w:val="en-US"/>
        </w:rPr>
        <w:t>References</w:t>
      </w:r>
      <w:r w:rsidR="00116CA5" w:rsidRPr="00CB734F">
        <w:rPr>
          <w:b/>
          <w:sz w:val="20"/>
          <w:szCs w:val="20"/>
          <w:lang w:val="en-US"/>
        </w:rPr>
        <w:t xml:space="preserve"> from Table 2</w:t>
      </w:r>
    </w:p>
    <w:p w14:paraId="309CB27C" w14:textId="39048CF5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CB734F">
        <w:rPr>
          <w:sz w:val="20"/>
          <w:szCs w:val="20"/>
          <w:lang w:val="en-GB"/>
        </w:rPr>
        <w:t>Baudon</w:t>
      </w:r>
      <w:proofErr w:type="spellEnd"/>
      <w:r w:rsidRPr="00CB734F">
        <w:rPr>
          <w:sz w:val="20"/>
          <w:szCs w:val="20"/>
          <w:lang w:val="en-GB"/>
        </w:rPr>
        <w:t xml:space="preserve">, C., </w:t>
      </w:r>
      <w:r w:rsidR="00640890" w:rsidRPr="00CB734F">
        <w:rPr>
          <w:sz w:val="20"/>
          <w:szCs w:val="20"/>
          <w:lang w:val="en-GB"/>
        </w:rPr>
        <w:t>and</w:t>
      </w:r>
      <w:r w:rsidRPr="00CB734F">
        <w:rPr>
          <w:sz w:val="20"/>
          <w:szCs w:val="20"/>
          <w:lang w:val="en-GB"/>
        </w:rPr>
        <w:t xml:space="preserve"> Cartwright, J.</w:t>
      </w:r>
      <w:r w:rsidR="00640890" w:rsidRPr="00CB734F">
        <w:rPr>
          <w:sz w:val="20"/>
          <w:szCs w:val="20"/>
          <w:lang w:val="en-GB"/>
        </w:rPr>
        <w:t>, 2008</w:t>
      </w:r>
      <w:r w:rsidRPr="00CB734F">
        <w:rPr>
          <w:sz w:val="20"/>
          <w:szCs w:val="20"/>
          <w:lang w:val="en-GB"/>
        </w:rPr>
        <w:t xml:space="preserve">. The kinematics of reactivation of normal faults using high resolution throw mapping. </w:t>
      </w:r>
      <w:r w:rsidRPr="00CB734F">
        <w:rPr>
          <w:iCs/>
          <w:sz w:val="20"/>
          <w:szCs w:val="20"/>
          <w:lang w:val="en-GB"/>
        </w:rPr>
        <w:t>J. Struct. Geol.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30</w:t>
      </w:r>
      <w:r w:rsidRPr="00CB734F">
        <w:rPr>
          <w:sz w:val="20"/>
          <w:szCs w:val="20"/>
          <w:lang w:val="en-GB"/>
        </w:rPr>
        <w:t>(8), 1072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1084.</w:t>
      </w:r>
    </w:p>
    <w:p w14:paraId="73CCDA60" w14:textId="68D04AEB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 xml:space="preserve">Bell, J. W., </w:t>
      </w:r>
      <w:r w:rsidR="00640890" w:rsidRPr="00CB734F">
        <w:rPr>
          <w:sz w:val="20"/>
          <w:szCs w:val="20"/>
          <w:lang w:val="en-GB"/>
        </w:rPr>
        <w:t xml:space="preserve">and </w:t>
      </w:r>
      <w:proofErr w:type="spellStart"/>
      <w:r w:rsidR="00640890" w:rsidRPr="00CB734F">
        <w:rPr>
          <w:sz w:val="20"/>
          <w:szCs w:val="20"/>
          <w:lang w:val="en-GB"/>
        </w:rPr>
        <w:t>Katzer</w:t>
      </w:r>
      <w:proofErr w:type="spellEnd"/>
      <w:r w:rsidR="00640890" w:rsidRPr="00CB734F">
        <w:rPr>
          <w:sz w:val="20"/>
          <w:szCs w:val="20"/>
          <w:lang w:val="en-GB"/>
        </w:rPr>
        <w:t>, T., 1990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>Timing of late Quaternary faulting in the 1954 Dixie Valley earthquake area, central Nevada.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r w:rsidRPr="00CB734F">
        <w:rPr>
          <w:iCs/>
          <w:sz w:val="20"/>
          <w:szCs w:val="20"/>
          <w:lang w:val="en-GB"/>
        </w:rPr>
        <w:t>Geology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18</w:t>
      </w:r>
      <w:r w:rsidRPr="00CB734F">
        <w:rPr>
          <w:sz w:val="20"/>
          <w:szCs w:val="20"/>
          <w:lang w:val="en-GB"/>
        </w:rPr>
        <w:t>(7), 622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625.</w:t>
      </w:r>
    </w:p>
    <w:p w14:paraId="14E28306" w14:textId="696D8B8F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 xml:space="preserve">Benedetti, L., Manighetti, I., </w:t>
      </w:r>
      <w:proofErr w:type="spellStart"/>
      <w:r w:rsidRPr="00CB734F">
        <w:rPr>
          <w:sz w:val="20"/>
          <w:szCs w:val="20"/>
          <w:lang w:val="en-GB"/>
        </w:rPr>
        <w:t>Gaudemer</w:t>
      </w:r>
      <w:proofErr w:type="spellEnd"/>
      <w:r w:rsidRPr="00CB734F">
        <w:rPr>
          <w:sz w:val="20"/>
          <w:szCs w:val="20"/>
          <w:lang w:val="en-GB"/>
        </w:rPr>
        <w:t xml:space="preserve">, Y., </w:t>
      </w:r>
      <w:proofErr w:type="spellStart"/>
      <w:r w:rsidRPr="00CB734F">
        <w:rPr>
          <w:sz w:val="20"/>
          <w:szCs w:val="20"/>
          <w:lang w:val="en-GB"/>
        </w:rPr>
        <w:t>Finkel</w:t>
      </w:r>
      <w:proofErr w:type="spellEnd"/>
      <w:r w:rsidRPr="00CB734F">
        <w:rPr>
          <w:sz w:val="20"/>
          <w:szCs w:val="20"/>
          <w:lang w:val="en-GB"/>
        </w:rPr>
        <w:t xml:space="preserve">, R., </w:t>
      </w:r>
      <w:proofErr w:type="spellStart"/>
      <w:r w:rsidRPr="00CB734F">
        <w:rPr>
          <w:sz w:val="20"/>
          <w:szCs w:val="20"/>
          <w:lang w:val="en-GB"/>
        </w:rPr>
        <w:t>Malavieille</w:t>
      </w:r>
      <w:proofErr w:type="spellEnd"/>
      <w:r w:rsidRPr="00CB734F">
        <w:rPr>
          <w:sz w:val="20"/>
          <w:szCs w:val="20"/>
          <w:lang w:val="en-GB"/>
        </w:rPr>
        <w:t xml:space="preserve">, J., </w:t>
      </w:r>
      <w:proofErr w:type="spellStart"/>
      <w:r w:rsidRPr="00CB734F">
        <w:rPr>
          <w:sz w:val="20"/>
          <w:szCs w:val="20"/>
          <w:lang w:val="en-GB"/>
        </w:rPr>
        <w:t>Pou</w:t>
      </w:r>
      <w:proofErr w:type="spellEnd"/>
      <w:r w:rsidRPr="00CB734F">
        <w:rPr>
          <w:sz w:val="20"/>
          <w:szCs w:val="20"/>
          <w:lang w:val="en-GB"/>
        </w:rPr>
        <w:t xml:space="preserve">, K., Arnold, M., </w:t>
      </w:r>
      <w:proofErr w:type="spellStart"/>
      <w:r w:rsidRPr="00CB734F">
        <w:rPr>
          <w:sz w:val="20"/>
          <w:szCs w:val="20"/>
          <w:lang w:val="en-GB"/>
        </w:rPr>
        <w:t>Aumaître</w:t>
      </w:r>
      <w:proofErr w:type="spellEnd"/>
      <w:r w:rsidRPr="00CB734F">
        <w:rPr>
          <w:sz w:val="20"/>
          <w:szCs w:val="20"/>
          <w:lang w:val="en-GB"/>
        </w:rPr>
        <w:t xml:space="preserve">, G., </w:t>
      </w:r>
      <w:proofErr w:type="spellStart"/>
      <w:r w:rsidRPr="00CB734F">
        <w:rPr>
          <w:sz w:val="20"/>
          <w:szCs w:val="20"/>
          <w:lang w:val="en-GB"/>
        </w:rPr>
        <w:t>Bourlès</w:t>
      </w:r>
      <w:proofErr w:type="spellEnd"/>
      <w:r w:rsidRPr="00CB734F">
        <w:rPr>
          <w:sz w:val="20"/>
          <w:szCs w:val="20"/>
          <w:lang w:val="en-GB"/>
        </w:rPr>
        <w:t>, D.</w:t>
      </w:r>
      <w:proofErr w:type="gramEnd"/>
      <w:r w:rsidRPr="00CB734F">
        <w:rPr>
          <w:sz w:val="20"/>
          <w:szCs w:val="20"/>
          <w:lang w:val="en-GB"/>
        </w:rPr>
        <w:t xml:space="preserve">  </w:t>
      </w:r>
      <w:proofErr w:type="gramStart"/>
      <w:r w:rsidR="00640890" w:rsidRPr="00CB734F">
        <w:rPr>
          <w:sz w:val="20"/>
          <w:szCs w:val="20"/>
          <w:lang w:val="en-GB"/>
        </w:rPr>
        <w:t>and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spellStart"/>
      <w:r w:rsidRPr="00CB734F">
        <w:rPr>
          <w:sz w:val="20"/>
          <w:szCs w:val="20"/>
          <w:lang w:val="en-GB"/>
        </w:rPr>
        <w:t>Keddadouche</w:t>
      </w:r>
      <w:proofErr w:type="spellEnd"/>
      <w:r w:rsidRPr="00CB734F">
        <w:rPr>
          <w:sz w:val="20"/>
          <w:szCs w:val="20"/>
          <w:lang w:val="en-GB"/>
        </w:rPr>
        <w:t>, K.</w:t>
      </w:r>
      <w:r w:rsidR="00640890" w:rsidRPr="00CB734F">
        <w:rPr>
          <w:sz w:val="20"/>
          <w:szCs w:val="20"/>
          <w:lang w:val="en-GB"/>
        </w:rPr>
        <w:t>,</w:t>
      </w:r>
      <w:r w:rsidRPr="00CB734F">
        <w:rPr>
          <w:sz w:val="20"/>
          <w:szCs w:val="20"/>
          <w:lang w:val="en-GB"/>
        </w:rPr>
        <w:t xml:space="preserve"> </w:t>
      </w:r>
      <w:r w:rsidR="00640890" w:rsidRPr="00CB734F">
        <w:rPr>
          <w:sz w:val="20"/>
          <w:szCs w:val="20"/>
          <w:lang w:val="en-GB"/>
        </w:rPr>
        <w:t>2013</w:t>
      </w:r>
      <w:r w:rsidRPr="00CB734F">
        <w:rPr>
          <w:sz w:val="20"/>
          <w:szCs w:val="20"/>
          <w:lang w:val="en-GB"/>
        </w:rPr>
        <w:t xml:space="preserve">. Earthquake synchrony and clustering on </w:t>
      </w:r>
      <w:proofErr w:type="spellStart"/>
      <w:r w:rsidRPr="00CB734F">
        <w:rPr>
          <w:sz w:val="20"/>
          <w:szCs w:val="20"/>
          <w:lang w:val="en-GB"/>
        </w:rPr>
        <w:t>Fucino</w:t>
      </w:r>
      <w:proofErr w:type="spellEnd"/>
      <w:r w:rsidRPr="00CB734F">
        <w:rPr>
          <w:sz w:val="20"/>
          <w:szCs w:val="20"/>
          <w:lang w:val="en-GB"/>
        </w:rPr>
        <w:t xml:space="preserve"> faults (Central Italy) as revealed from in situ 36Cl exposure dating. </w:t>
      </w:r>
      <w:r w:rsidRPr="00CB734F">
        <w:rPr>
          <w:iCs/>
          <w:sz w:val="20"/>
          <w:szCs w:val="20"/>
          <w:lang w:val="en-GB"/>
        </w:rPr>
        <w:t xml:space="preserve">J. </w:t>
      </w:r>
      <w:proofErr w:type="spellStart"/>
      <w:r w:rsidRPr="00CB734F">
        <w:rPr>
          <w:iCs/>
          <w:sz w:val="20"/>
          <w:szCs w:val="20"/>
          <w:lang w:val="en-GB"/>
        </w:rPr>
        <w:t>Geoph</w:t>
      </w:r>
      <w:proofErr w:type="spellEnd"/>
      <w:r w:rsidRPr="00CB734F">
        <w:rPr>
          <w:iCs/>
          <w:sz w:val="20"/>
          <w:szCs w:val="20"/>
          <w:lang w:val="en-GB"/>
        </w:rPr>
        <w:t xml:space="preserve">. </w:t>
      </w:r>
      <w:proofErr w:type="gramStart"/>
      <w:r w:rsidRPr="00CB734F">
        <w:rPr>
          <w:iCs/>
          <w:sz w:val="20"/>
          <w:szCs w:val="20"/>
          <w:lang w:val="en-GB"/>
        </w:rPr>
        <w:t>Res.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118</w:t>
      </w:r>
      <w:r w:rsidRPr="00CB734F">
        <w:rPr>
          <w:sz w:val="20"/>
          <w:szCs w:val="20"/>
          <w:lang w:val="en-GB"/>
        </w:rPr>
        <w:t>(9), 4948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4974.</w:t>
      </w:r>
      <w:proofErr w:type="gramEnd"/>
    </w:p>
    <w:p w14:paraId="51736DAB" w14:textId="6B8D253D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t>Boudiaf</w:t>
      </w:r>
      <w:proofErr w:type="spellEnd"/>
      <w:r w:rsidRPr="00CB734F">
        <w:rPr>
          <w:sz w:val="20"/>
          <w:szCs w:val="20"/>
          <w:lang w:val="en-GB"/>
        </w:rPr>
        <w:t xml:space="preserve">, A., Ritz, J. F., </w:t>
      </w:r>
      <w:r w:rsidR="00640890" w:rsidRPr="00CB734F">
        <w:rPr>
          <w:sz w:val="20"/>
          <w:szCs w:val="20"/>
          <w:lang w:val="en-GB"/>
        </w:rPr>
        <w:t>and Philip, H., 1998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Drainage diversions as evidence of propagating active faults: example of the El Asnam and Thenia faults, Algeria. </w:t>
      </w:r>
      <w:r w:rsidRPr="00CB734F">
        <w:rPr>
          <w:iCs/>
          <w:sz w:val="20"/>
          <w:szCs w:val="20"/>
          <w:lang w:val="en-GB"/>
        </w:rPr>
        <w:t>Terra Nova-Oxford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10</w:t>
      </w:r>
      <w:r w:rsidRPr="00CB734F">
        <w:rPr>
          <w:sz w:val="20"/>
          <w:szCs w:val="20"/>
          <w:lang w:val="en-GB"/>
        </w:rPr>
        <w:t>(5), 236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244.</w:t>
      </w:r>
    </w:p>
    <w:p w14:paraId="2CF8F081" w14:textId="7A1CFF7F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t>Cembrano</w:t>
      </w:r>
      <w:proofErr w:type="spellEnd"/>
      <w:r w:rsidRPr="00CB734F">
        <w:rPr>
          <w:sz w:val="20"/>
          <w:szCs w:val="20"/>
          <w:lang w:val="en-GB"/>
        </w:rPr>
        <w:t xml:space="preserve">, J., González, G., </w:t>
      </w:r>
      <w:proofErr w:type="spellStart"/>
      <w:r w:rsidRPr="00CB734F">
        <w:rPr>
          <w:sz w:val="20"/>
          <w:szCs w:val="20"/>
          <w:lang w:val="en-GB"/>
        </w:rPr>
        <w:t>Arancibia</w:t>
      </w:r>
      <w:proofErr w:type="spellEnd"/>
      <w:r w:rsidRPr="00CB734F">
        <w:rPr>
          <w:sz w:val="20"/>
          <w:szCs w:val="20"/>
          <w:lang w:val="en-GB"/>
        </w:rPr>
        <w:t xml:space="preserve">, G., </w:t>
      </w:r>
      <w:proofErr w:type="spellStart"/>
      <w:r w:rsidRPr="00CB734F">
        <w:rPr>
          <w:sz w:val="20"/>
          <w:szCs w:val="20"/>
          <w:lang w:val="en-GB"/>
        </w:rPr>
        <w:t>Ahumada</w:t>
      </w:r>
      <w:proofErr w:type="spellEnd"/>
      <w:r w:rsidRPr="00CB734F">
        <w:rPr>
          <w:sz w:val="20"/>
          <w:szCs w:val="20"/>
          <w:lang w:val="en-GB"/>
        </w:rPr>
        <w:t xml:space="preserve">, I., Olivares, V., </w:t>
      </w:r>
      <w:r w:rsidR="00640890" w:rsidRPr="00CB734F">
        <w:rPr>
          <w:sz w:val="20"/>
          <w:szCs w:val="20"/>
          <w:lang w:val="en-GB"/>
        </w:rPr>
        <w:t>and Herrera, V., 2005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Fault zone development and strain partitioning in an extensional strike-slip duplex: A case study from the Mesozoic Atacama fault system, Northern Chile. </w:t>
      </w:r>
      <w:proofErr w:type="spellStart"/>
      <w:r w:rsidRPr="00CB734F">
        <w:rPr>
          <w:iCs/>
          <w:sz w:val="20"/>
          <w:szCs w:val="20"/>
          <w:lang w:val="en-GB"/>
        </w:rPr>
        <w:t>Tectonophysics</w:t>
      </w:r>
      <w:proofErr w:type="spellEnd"/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400</w:t>
      </w:r>
      <w:r w:rsidRPr="00CB734F">
        <w:rPr>
          <w:sz w:val="20"/>
          <w:szCs w:val="20"/>
          <w:lang w:val="en-GB"/>
        </w:rPr>
        <w:t>(1), 105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125.</w:t>
      </w:r>
    </w:p>
    <w:p w14:paraId="652F5ACE" w14:textId="424A0AE3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 xml:space="preserve">Crone, A. J., </w:t>
      </w:r>
      <w:r w:rsidR="00640890" w:rsidRPr="00CB734F">
        <w:rPr>
          <w:sz w:val="20"/>
          <w:szCs w:val="20"/>
          <w:lang w:val="en-GB"/>
        </w:rPr>
        <w:t>and Haller, K. M., 1991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Segmentation and the </w:t>
      </w:r>
      <w:proofErr w:type="spellStart"/>
      <w:r w:rsidRPr="00CB734F">
        <w:rPr>
          <w:sz w:val="20"/>
          <w:szCs w:val="20"/>
          <w:lang w:val="en-GB"/>
        </w:rPr>
        <w:t>coseismic</w:t>
      </w:r>
      <w:proofErr w:type="spellEnd"/>
      <w:r w:rsidRPr="00CB734F">
        <w:rPr>
          <w:sz w:val="20"/>
          <w:szCs w:val="20"/>
          <w:lang w:val="en-GB"/>
        </w:rPr>
        <w:t xml:space="preserve"> </w:t>
      </w:r>
      <w:proofErr w:type="spellStart"/>
      <w:r w:rsidRPr="00CB734F">
        <w:rPr>
          <w:sz w:val="20"/>
          <w:szCs w:val="20"/>
          <w:lang w:val="en-GB"/>
        </w:rPr>
        <w:t>behavior</w:t>
      </w:r>
      <w:proofErr w:type="spellEnd"/>
      <w:r w:rsidRPr="00CB734F">
        <w:rPr>
          <w:sz w:val="20"/>
          <w:szCs w:val="20"/>
          <w:lang w:val="en-GB"/>
        </w:rPr>
        <w:t xml:space="preserve"> of Basin and Range normal faults: examples from east-central Idaho and southwestern Montana, USA. </w:t>
      </w:r>
      <w:r w:rsidRPr="00CB734F">
        <w:rPr>
          <w:iCs/>
          <w:sz w:val="20"/>
          <w:szCs w:val="20"/>
          <w:lang w:val="en-GB"/>
        </w:rPr>
        <w:t>J. Struct. Geol.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13</w:t>
      </w:r>
      <w:r w:rsidRPr="00CB734F">
        <w:rPr>
          <w:sz w:val="20"/>
          <w:szCs w:val="20"/>
          <w:lang w:val="en-GB"/>
        </w:rPr>
        <w:t>(2), 151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164.</w:t>
      </w:r>
    </w:p>
    <w:p w14:paraId="06EF49E4" w14:textId="3A9F1468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CB734F">
        <w:rPr>
          <w:sz w:val="20"/>
          <w:szCs w:val="20"/>
          <w:lang w:val="en-GB"/>
        </w:rPr>
        <w:t>Davatzes</w:t>
      </w:r>
      <w:proofErr w:type="spellEnd"/>
      <w:r w:rsidRPr="00CB734F">
        <w:rPr>
          <w:sz w:val="20"/>
          <w:szCs w:val="20"/>
          <w:lang w:val="en-GB"/>
        </w:rPr>
        <w:t>, N. C., and Aydin, A.</w:t>
      </w:r>
      <w:r w:rsidR="00640890" w:rsidRPr="00CB734F">
        <w:rPr>
          <w:sz w:val="20"/>
          <w:szCs w:val="20"/>
          <w:lang w:val="en-GB"/>
        </w:rPr>
        <w:t>, 2003</w:t>
      </w:r>
      <w:r w:rsidRPr="00CB734F">
        <w:rPr>
          <w:sz w:val="20"/>
          <w:szCs w:val="20"/>
          <w:lang w:val="en-GB"/>
        </w:rPr>
        <w:t xml:space="preserve">. The formation of conjugate normal fault systems in folded sandstone by sequential jointing and shearing, </w:t>
      </w:r>
      <w:proofErr w:type="spellStart"/>
      <w:r w:rsidRPr="00CB734F">
        <w:rPr>
          <w:sz w:val="20"/>
          <w:szCs w:val="20"/>
          <w:lang w:val="en-GB"/>
        </w:rPr>
        <w:t>Waterpocket</w:t>
      </w:r>
      <w:proofErr w:type="spellEnd"/>
      <w:r w:rsidRPr="00CB734F">
        <w:rPr>
          <w:sz w:val="20"/>
          <w:szCs w:val="20"/>
          <w:lang w:val="en-GB"/>
        </w:rPr>
        <w:t xml:space="preserve"> monocline, Utah. </w:t>
      </w:r>
      <w:r w:rsidRPr="00CB734F">
        <w:rPr>
          <w:iCs/>
          <w:sz w:val="20"/>
          <w:szCs w:val="20"/>
          <w:lang w:val="en-GB"/>
        </w:rPr>
        <w:t xml:space="preserve">J. Geophys. </w:t>
      </w:r>
      <w:proofErr w:type="gramStart"/>
      <w:r w:rsidRPr="00CB734F">
        <w:rPr>
          <w:iCs/>
          <w:sz w:val="20"/>
          <w:szCs w:val="20"/>
          <w:lang w:val="en-GB"/>
        </w:rPr>
        <w:t>Res.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108</w:t>
      </w:r>
      <w:r w:rsidRPr="00CB734F">
        <w:rPr>
          <w:sz w:val="20"/>
          <w:szCs w:val="20"/>
          <w:lang w:val="en-GB"/>
        </w:rPr>
        <w:t>(B10),</w:t>
      </w:r>
      <w:r w:rsidRPr="00CB734F">
        <w:rPr>
          <w:sz w:val="20"/>
          <w:szCs w:val="20"/>
          <w:lang w:val="en-US"/>
        </w:rPr>
        <w:t xml:space="preserve"> </w:t>
      </w:r>
      <w:r w:rsidRPr="00CB734F">
        <w:rPr>
          <w:sz w:val="20"/>
          <w:szCs w:val="20"/>
          <w:lang w:val="en-GB"/>
        </w:rPr>
        <w:t>p. ETG7.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>1-ETG7.</w:t>
      </w:r>
      <w:proofErr w:type="gramEnd"/>
      <w:r w:rsidRPr="00CB734F">
        <w:rPr>
          <w:sz w:val="20"/>
          <w:szCs w:val="20"/>
          <w:lang w:val="en-GB"/>
        </w:rPr>
        <w:t xml:space="preserve"> 15.</w:t>
      </w:r>
    </w:p>
    <w:p w14:paraId="24F26A93" w14:textId="1CC4D46E" w:rsidR="00DD1FC7" w:rsidRPr="00CB734F" w:rsidRDefault="00DD1FC7" w:rsidP="00DD1FC7">
      <w:pPr>
        <w:ind w:left="426" w:hanging="426"/>
        <w:jc w:val="both"/>
        <w:rPr>
          <w:rFonts w:cs="AdvTT5235d5a9"/>
          <w:sz w:val="20"/>
          <w:szCs w:val="20"/>
          <w:lang w:val="en-GB"/>
        </w:rPr>
      </w:pPr>
      <w:proofErr w:type="spellStart"/>
      <w:proofErr w:type="gramStart"/>
      <w:r w:rsidRPr="00CB734F">
        <w:rPr>
          <w:rFonts w:cs="AdvTT5235d5a9"/>
          <w:sz w:val="20"/>
          <w:szCs w:val="20"/>
          <w:lang w:val="en-GB"/>
        </w:rPr>
        <w:t>Da</w:t>
      </w:r>
      <w:r w:rsidR="00640890" w:rsidRPr="00CB734F">
        <w:rPr>
          <w:rFonts w:cs="AdvTT5235d5a9"/>
          <w:sz w:val="20"/>
          <w:szCs w:val="20"/>
          <w:lang w:val="en-GB"/>
        </w:rPr>
        <w:t>wers</w:t>
      </w:r>
      <w:proofErr w:type="spellEnd"/>
      <w:r w:rsidR="00640890" w:rsidRPr="00CB734F">
        <w:rPr>
          <w:rFonts w:cs="AdvTT5235d5a9"/>
          <w:sz w:val="20"/>
          <w:szCs w:val="20"/>
          <w:lang w:val="en-GB"/>
        </w:rPr>
        <w:t>, N. H., and Anders, M. H., 1995</w:t>
      </w:r>
      <w:r w:rsidRPr="00CB734F">
        <w:rPr>
          <w:rFonts w:cs="AdvTT5235d5a9"/>
          <w:sz w:val="20"/>
          <w:szCs w:val="20"/>
          <w:lang w:val="en-GB"/>
        </w:rPr>
        <w:t>.</w:t>
      </w:r>
      <w:proofErr w:type="gramEnd"/>
      <w:r w:rsidRPr="00CB734F">
        <w:rPr>
          <w:rFonts w:cs="AdvTT5235d5a9"/>
          <w:sz w:val="20"/>
          <w:szCs w:val="20"/>
          <w:lang w:val="en-GB"/>
        </w:rPr>
        <w:t xml:space="preserve"> </w:t>
      </w:r>
      <w:proofErr w:type="gramStart"/>
      <w:r w:rsidRPr="00CB734F">
        <w:rPr>
          <w:rFonts w:cs="AdvTT5235d5a9"/>
          <w:sz w:val="20"/>
          <w:szCs w:val="20"/>
          <w:lang w:val="en-GB"/>
        </w:rPr>
        <w:t>Displacement-length scaling and fault linkage.</w:t>
      </w:r>
      <w:proofErr w:type="gramEnd"/>
      <w:r w:rsidRPr="00CB734F">
        <w:rPr>
          <w:rFonts w:cs="AdvTT5235d5a9"/>
          <w:sz w:val="20"/>
          <w:szCs w:val="20"/>
          <w:lang w:val="en-GB"/>
        </w:rPr>
        <w:t xml:space="preserve"> </w:t>
      </w:r>
      <w:r w:rsidRPr="00CB734F">
        <w:rPr>
          <w:rFonts w:cs="AdvTT5235d5a9"/>
          <w:iCs/>
          <w:sz w:val="20"/>
          <w:szCs w:val="20"/>
          <w:lang w:val="en-GB"/>
        </w:rPr>
        <w:t>J. Struct. Geol.</w:t>
      </w:r>
      <w:r w:rsidRPr="00CB734F">
        <w:rPr>
          <w:rFonts w:cs="AdvTT5235d5a9"/>
          <w:sz w:val="20"/>
          <w:szCs w:val="20"/>
          <w:lang w:val="en-GB"/>
        </w:rPr>
        <w:t xml:space="preserve">, </w:t>
      </w:r>
      <w:r w:rsidRPr="00CB734F">
        <w:rPr>
          <w:rFonts w:cs="AdvTT5235d5a9"/>
          <w:iCs/>
          <w:sz w:val="20"/>
          <w:szCs w:val="20"/>
          <w:lang w:val="en-GB"/>
        </w:rPr>
        <w:t>17</w:t>
      </w:r>
      <w:r w:rsidRPr="00CB734F">
        <w:rPr>
          <w:rFonts w:cs="AdvTT5235d5a9"/>
          <w:sz w:val="20"/>
          <w:szCs w:val="20"/>
          <w:lang w:val="en-GB"/>
        </w:rPr>
        <w:t>(5), 607</w:t>
      </w:r>
      <w:r w:rsidR="00CB734F" w:rsidRPr="00CB734F">
        <w:rPr>
          <w:rFonts w:cs="AdvTT5235d5a9"/>
          <w:sz w:val="20"/>
          <w:szCs w:val="20"/>
          <w:lang w:val="en-GB"/>
        </w:rPr>
        <w:t>–</w:t>
      </w:r>
      <w:r w:rsidRPr="00CB734F">
        <w:rPr>
          <w:rFonts w:cs="AdvTT5235d5a9"/>
          <w:sz w:val="20"/>
          <w:szCs w:val="20"/>
          <w:lang w:val="en-GB"/>
        </w:rPr>
        <w:t>614.</w:t>
      </w:r>
    </w:p>
    <w:p w14:paraId="31553A83" w14:textId="0322D790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lastRenderedPageBreak/>
        <w:t xml:space="preserve">Dominguez, S., </w:t>
      </w:r>
      <w:proofErr w:type="spellStart"/>
      <w:r w:rsidRPr="00CB734F">
        <w:rPr>
          <w:sz w:val="20"/>
          <w:szCs w:val="20"/>
          <w:lang w:val="en-GB"/>
        </w:rPr>
        <w:t>Avouac</w:t>
      </w:r>
      <w:proofErr w:type="spellEnd"/>
      <w:r w:rsidRPr="00CB734F">
        <w:rPr>
          <w:sz w:val="20"/>
          <w:szCs w:val="20"/>
          <w:lang w:val="en-GB"/>
        </w:rPr>
        <w:t xml:space="preserve">, J. P., </w:t>
      </w:r>
      <w:r w:rsidR="00640890" w:rsidRPr="00CB734F">
        <w:rPr>
          <w:sz w:val="20"/>
          <w:szCs w:val="20"/>
          <w:lang w:val="en-GB"/>
        </w:rPr>
        <w:t>and Michel, R., 2003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Horizontal </w:t>
      </w:r>
      <w:proofErr w:type="spellStart"/>
      <w:r w:rsidRPr="00CB734F">
        <w:rPr>
          <w:sz w:val="20"/>
          <w:szCs w:val="20"/>
          <w:lang w:val="en-GB"/>
        </w:rPr>
        <w:t>coseismic</w:t>
      </w:r>
      <w:proofErr w:type="spellEnd"/>
      <w:r w:rsidRPr="00CB734F">
        <w:rPr>
          <w:sz w:val="20"/>
          <w:szCs w:val="20"/>
          <w:lang w:val="en-GB"/>
        </w:rPr>
        <w:t xml:space="preserve"> deformation of the 1999 Chi‐Chi earthquake measured from SPOT satellite images: Implications for the seismic cycle along the western foothills of central Taiwan. </w:t>
      </w:r>
      <w:r w:rsidRPr="00CB734F">
        <w:rPr>
          <w:iCs/>
          <w:sz w:val="20"/>
          <w:szCs w:val="20"/>
          <w:lang w:val="en-GB"/>
        </w:rPr>
        <w:t xml:space="preserve">J. </w:t>
      </w:r>
      <w:proofErr w:type="spellStart"/>
      <w:r w:rsidRPr="00CB734F">
        <w:rPr>
          <w:iCs/>
          <w:sz w:val="20"/>
          <w:szCs w:val="20"/>
          <w:lang w:val="en-GB"/>
        </w:rPr>
        <w:t>Geoph</w:t>
      </w:r>
      <w:proofErr w:type="spellEnd"/>
      <w:r w:rsidRPr="00CB734F">
        <w:rPr>
          <w:iCs/>
          <w:sz w:val="20"/>
          <w:szCs w:val="20"/>
          <w:lang w:val="en-GB"/>
        </w:rPr>
        <w:t xml:space="preserve">. </w:t>
      </w:r>
      <w:proofErr w:type="gramStart"/>
      <w:r w:rsidRPr="00CB734F">
        <w:rPr>
          <w:iCs/>
          <w:sz w:val="20"/>
          <w:szCs w:val="20"/>
          <w:lang w:val="en-GB"/>
        </w:rPr>
        <w:t>Res.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108</w:t>
      </w:r>
      <w:r w:rsidRPr="00CB734F">
        <w:rPr>
          <w:sz w:val="20"/>
          <w:szCs w:val="20"/>
          <w:lang w:val="en-GB"/>
        </w:rPr>
        <w:t>(B2), p. ESE8.1-ESE8.19.</w:t>
      </w:r>
      <w:proofErr w:type="gramEnd"/>
    </w:p>
    <w:p w14:paraId="2DB27FCC" w14:textId="60D3926A" w:rsidR="00DD1FC7" w:rsidRPr="00CB734F" w:rsidRDefault="00640890" w:rsidP="00DD1FC7">
      <w:pPr>
        <w:ind w:left="426" w:hanging="426"/>
        <w:jc w:val="both"/>
        <w:rPr>
          <w:sz w:val="20"/>
          <w:szCs w:val="20"/>
          <w:lang w:val="en-GB"/>
        </w:rPr>
      </w:pPr>
      <w:r w:rsidRPr="00CB734F">
        <w:rPr>
          <w:sz w:val="20"/>
          <w:szCs w:val="20"/>
          <w:lang w:val="en-GB"/>
        </w:rPr>
        <w:t>Dorsey, R. J., 2002</w:t>
      </w:r>
      <w:r w:rsidR="00DD1FC7" w:rsidRPr="00CB734F">
        <w:rPr>
          <w:sz w:val="20"/>
          <w:szCs w:val="20"/>
          <w:lang w:val="en-GB"/>
        </w:rPr>
        <w:t xml:space="preserve">. </w:t>
      </w:r>
      <w:proofErr w:type="gramStart"/>
      <w:r w:rsidR="00DD1FC7" w:rsidRPr="00CB734F">
        <w:rPr>
          <w:sz w:val="20"/>
          <w:szCs w:val="20"/>
          <w:lang w:val="en-GB"/>
        </w:rPr>
        <w:t>Stratigraphic record of Pleistocene initiation and slip on the Coyote Creek fault, lower Coyote Creek, southern California.</w:t>
      </w:r>
      <w:proofErr w:type="gramEnd"/>
      <w:r w:rsidR="00DD1FC7" w:rsidRPr="00CB734F">
        <w:rPr>
          <w:sz w:val="20"/>
          <w:szCs w:val="20"/>
          <w:lang w:val="en-GB"/>
        </w:rPr>
        <w:t xml:space="preserve"> </w:t>
      </w:r>
      <w:r w:rsidR="00DD1FC7" w:rsidRPr="00CB734F">
        <w:rPr>
          <w:iCs/>
          <w:sz w:val="20"/>
          <w:szCs w:val="20"/>
          <w:lang w:val="en-GB"/>
        </w:rPr>
        <w:t>Special Papers-Geol. Soc. Am.</w:t>
      </w:r>
      <w:r w:rsidR="00DD1FC7" w:rsidRPr="00CB734F">
        <w:rPr>
          <w:sz w:val="20"/>
          <w:szCs w:val="20"/>
          <w:lang w:val="en-GB"/>
        </w:rPr>
        <w:t>, 251</w:t>
      </w:r>
      <w:r w:rsidR="00CB734F" w:rsidRPr="00CB734F">
        <w:rPr>
          <w:sz w:val="20"/>
          <w:szCs w:val="20"/>
          <w:lang w:val="en-GB"/>
        </w:rPr>
        <w:t>–</w:t>
      </w:r>
      <w:r w:rsidR="00DD1FC7" w:rsidRPr="00CB734F">
        <w:rPr>
          <w:sz w:val="20"/>
          <w:szCs w:val="20"/>
          <w:lang w:val="en-GB"/>
        </w:rPr>
        <w:t>270.</w:t>
      </w:r>
    </w:p>
    <w:p w14:paraId="33DD752D" w14:textId="6F3143F9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 xml:space="preserve">Dorsey, R. J., </w:t>
      </w:r>
      <w:proofErr w:type="spellStart"/>
      <w:r w:rsidRPr="00CB734F">
        <w:rPr>
          <w:sz w:val="20"/>
          <w:szCs w:val="20"/>
          <w:lang w:val="en-GB"/>
        </w:rPr>
        <w:t>Axen</w:t>
      </w:r>
      <w:proofErr w:type="spellEnd"/>
      <w:r w:rsidRPr="00CB734F">
        <w:rPr>
          <w:sz w:val="20"/>
          <w:szCs w:val="20"/>
          <w:lang w:val="en-GB"/>
        </w:rPr>
        <w:t xml:space="preserve">, G. J., </w:t>
      </w:r>
      <w:proofErr w:type="spellStart"/>
      <w:r w:rsidRPr="00CB734F">
        <w:rPr>
          <w:sz w:val="20"/>
          <w:szCs w:val="20"/>
          <w:lang w:val="en-GB"/>
        </w:rPr>
        <w:t>Peryam</w:t>
      </w:r>
      <w:proofErr w:type="spellEnd"/>
      <w:r w:rsidRPr="00CB734F">
        <w:rPr>
          <w:sz w:val="20"/>
          <w:szCs w:val="20"/>
          <w:lang w:val="en-GB"/>
        </w:rPr>
        <w:t xml:space="preserve">, T. C., </w:t>
      </w:r>
      <w:r w:rsidR="00640890" w:rsidRPr="00CB734F">
        <w:rPr>
          <w:sz w:val="20"/>
          <w:szCs w:val="20"/>
          <w:lang w:val="en-GB"/>
        </w:rPr>
        <w:t>and</w:t>
      </w:r>
      <w:r w:rsidRPr="00CB734F">
        <w:rPr>
          <w:sz w:val="20"/>
          <w:szCs w:val="20"/>
          <w:lang w:val="en-GB"/>
        </w:rPr>
        <w:t xml:space="preserve"> </w:t>
      </w:r>
      <w:proofErr w:type="spellStart"/>
      <w:r w:rsidRPr="00CB734F">
        <w:rPr>
          <w:sz w:val="20"/>
          <w:szCs w:val="20"/>
          <w:lang w:val="en-GB"/>
        </w:rPr>
        <w:t>Kairouz</w:t>
      </w:r>
      <w:proofErr w:type="spellEnd"/>
      <w:r w:rsidRPr="00CB734F">
        <w:rPr>
          <w:sz w:val="20"/>
          <w:szCs w:val="20"/>
          <w:lang w:val="en-GB"/>
        </w:rPr>
        <w:t xml:space="preserve">, </w:t>
      </w:r>
      <w:r w:rsidR="00640890" w:rsidRPr="00CB734F">
        <w:rPr>
          <w:sz w:val="20"/>
          <w:szCs w:val="20"/>
          <w:lang w:val="en-GB"/>
        </w:rPr>
        <w:t>M. E., 2012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Initiation of the southern Elsinore fault at</w:t>
      </w:r>
      <w:r w:rsidRPr="00CB734F">
        <w:rPr>
          <w:rFonts w:cs="BlairMdITC TT-Medium"/>
          <w:sz w:val="20"/>
          <w:szCs w:val="20"/>
          <w:lang w:val="en-GB"/>
        </w:rPr>
        <w:t>∼</w:t>
      </w:r>
      <w:r w:rsidRPr="00CB734F">
        <w:rPr>
          <w:sz w:val="20"/>
          <w:szCs w:val="20"/>
          <w:lang w:val="en-GB"/>
        </w:rPr>
        <w:t xml:space="preserve"> 1.2 Ma: evidence from the Fish Creek–</w:t>
      </w:r>
      <w:proofErr w:type="spellStart"/>
      <w:r w:rsidRPr="00CB734F">
        <w:rPr>
          <w:sz w:val="20"/>
          <w:szCs w:val="20"/>
          <w:lang w:val="en-GB"/>
        </w:rPr>
        <w:t>Vallecito</w:t>
      </w:r>
      <w:proofErr w:type="spellEnd"/>
      <w:r w:rsidRPr="00CB734F">
        <w:rPr>
          <w:sz w:val="20"/>
          <w:szCs w:val="20"/>
          <w:lang w:val="en-GB"/>
        </w:rPr>
        <w:t xml:space="preserve"> Basin, southern California. </w:t>
      </w:r>
      <w:proofErr w:type="gramStart"/>
      <w:r w:rsidRPr="00CB734F">
        <w:rPr>
          <w:iCs/>
          <w:sz w:val="20"/>
          <w:szCs w:val="20"/>
          <w:lang w:val="en-GB"/>
        </w:rPr>
        <w:t>Tectonics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31</w:t>
      </w:r>
      <w:r w:rsidRPr="00CB734F">
        <w:rPr>
          <w:sz w:val="20"/>
          <w:szCs w:val="20"/>
          <w:lang w:val="en-GB"/>
        </w:rPr>
        <w:t>(2), p. TC2006.1-TC2006.21.</w:t>
      </w:r>
      <w:proofErr w:type="gramEnd"/>
    </w:p>
    <w:p w14:paraId="51E4FE70" w14:textId="5F517664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US"/>
        </w:rPr>
      </w:pPr>
      <w:proofErr w:type="spellStart"/>
      <w:r w:rsidRPr="00CB734F">
        <w:rPr>
          <w:sz w:val="20"/>
          <w:szCs w:val="20"/>
          <w:lang w:val="en-US"/>
        </w:rPr>
        <w:t>Ferrill</w:t>
      </w:r>
      <w:proofErr w:type="spellEnd"/>
      <w:r w:rsidRPr="00CB734F">
        <w:rPr>
          <w:sz w:val="20"/>
          <w:szCs w:val="20"/>
          <w:lang w:val="en-US"/>
        </w:rPr>
        <w:t>, D. A.,</w:t>
      </w:r>
      <w:r w:rsidR="00640890" w:rsidRPr="00CB734F">
        <w:rPr>
          <w:sz w:val="20"/>
          <w:szCs w:val="20"/>
          <w:lang w:val="en-US"/>
        </w:rPr>
        <w:t xml:space="preserve"> </w:t>
      </w:r>
      <w:proofErr w:type="spellStart"/>
      <w:r w:rsidR="00640890" w:rsidRPr="00CB734F">
        <w:rPr>
          <w:sz w:val="20"/>
          <w:szCs w:val="20"/>
          <w:lang w:val="en-US"/>
        </w:rPr>
        <w:t>Stamatakos</w:t>
      </w:r>
      <w:proofErr w:type="spellEnd"/>
      <w:r w:rsidR="00640890" w:rsidRPr="00CB734F">
        <w:rPr>
          <w:sz w:val="20"/>
          <w:szCs w:val="20"/>
          <w:lang w:val="en-US"/>
        </w:rPr>
        <w:t>, J. A., and Sims, D., 1999</w:t>
      </w:r>
      <w:r w:rsidRPr="00CB734F">
        <w:rPr>
          <w:sz w:val="20"/>
          <w:szCs w:val="20"/>
          <w:lang w:val="en-US"/>
        </w:rPr>
        <w:t xml:space="preserve">. Normal fault corrugation: Implications for growth and seismicity of active normal faults. </w:t>
      </w:r>
      <w:r w:rsidRPr="00CB734F">
        <w:rPr>
          <w:iCs/>
          <w:sz w:val="20"/>
          <w:szCs w:val="20"/>
          <w:lang w:val="en-US"/>
        </w:rPr>
        <w:t>J. Struct. Geol.</w:t>
      </w:r>
      <w:r w:rsidRPr="00CB734F">
        <w:rPr>
          <w:sz w:val="20"/>
          <w:szCs w:val="20"/>
          <w:lang w:val="en-US"/>
        </w:rPr>
        <w:t xml:space="preserve">, </w:t>
      </w:r>
      <w:r w:rsidRPr="00CB734F">
        <w:rPr>
          <w:iCs/>
          <w:sz w:val="20"/>
          <w:szCs w:val="20"/>
          <w:lang w:val="en-US"/>
        </w:rPr>
        <w:t>21</w:t>
      </w:r>
      <w:r w:rsidRPr="00CB734F">
        <w:rPr>
          <w:sz w:val="20"/>
          <w:szCs w:val="20"/>
          <w:lang w:val="en-US"/>
        </w:rPr>
        <w:t>(8), 1027</w:t>
      </w:r>
      <w:r w:rsidR="00CB734F" w:rsidRPr="00CB734F">
        <w:rPr>
          <w:sz w:val="20"/>
          <w:szCs w:val="20"/>
          <w:lang w:val="en-US"/>
        </w:rPr>
        <w:t>–</w:t>
      </w:r>
      <w:r w:rsidRPr="00CB734F">
        <w:rPr>
          <w:sz w:val="20"/>
          <w:szCs w:val="20"/>
          <w:lang w:val="en-US"/>
        </w:rPr>
        <w:t>1038.</w:t>
      </w:r>
    </w:p>
    <w:p w14:paraId="54786126" w14:textId="1CD0B2BC" w:rsidR="00DD1FC7" w:rsidRPr="00CB734F" w:rsidRDefault="00640890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t>Granier</w:t>
      </w:r>
      <w:proofErr w:type="spellEnd"/>
      <w:r w:rsidRPr="00CB734F">
        <w:rPr>
          <w:sz w:val="20"/>
          <w:szCs w:val="20"/>
          <w:lang w:val="en-GB"/>
        </w:rPr>
        <w:t>, T., 1985</w:t>
      </w:r>
      <w:r w:rsidR="00DD1FC7" w:rsidRPr="00CB734F">
        <w:rPr>
          <w:sz w:val="20"/>
          <w:szCs w:val="20"/>
          <w:lang w:val="en-GB"/>
        </w:rPr>
        <w:t>.</w:t>
      </w:r>
      <w:proofErr w:type="gramEnd"/>
      <w:r w:rsidR="00DD1FC7" w:rsidRPr="00CB734F">
        <w:rPr>
          <w:sz w:val="20"/>
          <w:szCs w:val="20"/>
          <w:lang w:val="en-GB"/>
        </w:rPr>
        <w:t xml:space="preserve"> </w:t>
      </w:r>
      <w:proofErr w:type="gramStart"/>
      <w:r w:rsidR="00DD1FC7" w:rsidRPr="00CB734F">
        <w:rPr>
          <w:sz w:val="20"/>
          <w:szCs w:val="20"/>
          <w:lang w:val="en-GB"/>
        </w:rPr>
        <w:t>Origin, damping, and pattern of development of faults in granite.</w:t>
      </w:r>
      <w:proofErr w:type="gramEnd"/>
      <w:r w:rsidR="00DD1FC7" w:rsidRPr="00CB734F">
        <w:rPr>
          <w:sz w:val="20"/>
          <w:szCs w:val="20"/>
          <w:lang w:val="en-GB"/>
        </w:rPr>
        <w:t xml:space="preserve"> </w:t>
      </w:r>
      <w:r w:rsidR="00DD1FC7" w:rsidRPr="00CB734F">
        <w:rPr>
          <w:iCs/>
          <w:sz w:val="20"/>
          <w:szCs w:val="20"/>
          <w:lang w:val="en-GB"/>
        </w:rPr>
        <w:t>Tectonics</w:t>
      </w:r>
      <w:r w:rsidR="00DD1FC7" w:rsidRPr="00CB734F">
        <w:rPr>
          <w:sz w:val="20"/>
          <w:szCs w:val="20"/>
          <w:lang w:val="en-GB"/>
        </w:rPr>
        <w:t xml:space="preserve">, </w:t>
      </w:r>
      <w:r w:rsidR="00DD1FC7" w:rsidRPr="00CB734F">
        <w:rPr>
          <w:iCs/>
          <w:sz w:val="20"/>
          <w:szCs w:val="20"/>
          <w:lang w:val="en-GB"/>
        </w:rPr>
        <w:t>4</w:t>
      </w:r>
      <w:r w:rsidR="00DD1FC7" w:rsidRPr="00CB734F">
        <w:rPr>
          <w:sz w:val="20"/>
          <w:szCs w:val="20"/>
          <w:lang w:val="en-GB"/>
        </w:rPr>
        <w:t>(7), 721</w:t>
      </w:r>
      <w:r w:rsidR="00CB734F" w:rsidRPr="00CB734F">
        <w:rPr>
          <w:sz w:val="20"/>
          <w:szCs w:val="20"/>
          <w:lang w:val="en-GB"/>
        </w:rPr>
        <w:t>–</w:t>
      </w:r>
      <w:r w:rsidR="00DD1FC7" w:rsidRPr="00CB734F">
        <w:rPr>
          <w:sz w:val="20"/>
          <w:szCs w:val="20"/>
          <w:lang w:val="en-GB"/>
        </w:rPr>
        <w:t>737.</w:t>
      </w:r>
    </w:p>
    <w:p w14:paraId="5FA4E8CB" w14:textId="0ADC28AF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t>Jachens</w:t>
      </w:r>
      <w:proofErr w:type="spellEnd"/>
      <w:r w:rsidRPr="00CB734F">
        <w:rPr>
          <w:sz w:val="20"/>
          <w:szCs w:val="20"/>
          <w:lang w:val="en-GB"/>
        </w:rPr>
        <w:t xml:space="preserve">, R. C., </w:t>
      </w:r>
      <w:proofErr w:type="spellStart"/>
      <w:r w:rsidRPr="00CB734F">
        <w:rPr>
          <w:sz w:val="20"/>
          <w:szCs w:val="20"/>
          <w:lang w:val="en-GB"/>
        </w:rPr>
        <w:t>Langenheim</w:t>
      </w:r>
      <w:proofErr w:type="spellEnd"/>
      <w:r w:rsidRPr="00CB734F">
        <w:rPr>
          <w:sz w:val="20"/>
          <w:szCs w:val="20"/>
          <w:lang w:val="en-GB"/>
        </w:rPr>
        <w:t xml:space="preserve">, V. E., </w:t>
      </w:r>
      <w:r w:rsidR="00640890" w:rsidRPr="00CB734F">
        <w:rPr>
          <w:sz w:val="20"/>
          <w:szCs w:val="20"/>
          <w:lang w:val="en-GB"/>
        </w:rPr>
        <w:t xml:space="preserve">and </w:t>
      </w:r>
      <w:proofErr w:type="spellStart"/>
      <w:r w:rsidR="00640890" w:rsidRPr="00CB734F">
        <w:rPr>
          <w:sz w:val="20"/>
          <w:szCs w:val="20"/>
          <w:lang w:val="en-GB"/>
        </w:rPr>
        <w:t>Matti</w:t>
      </w:r>
      <w:proofErr w:type="spellEnd"/>
      <w:r w:rsidR="00640890" w:rsidRPr="00CB734F">
        <w:rPr>
          <w:sz w:val="20"/>
          <w:szCs w:val="20"/>
          <w:lang w:val="en-GB"/>
        </w:rPr>
        <w:t>, J. C., 2002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Relationship of the 1999 Hector Mine and 1992 Landers fault ruptures to offsets on Neogene faults and distribution of late </w:t>
      </w:r>
      <w:proofErr w:type="spellStart"/>
      <w:r w:rsidRPr="00CB734F">
        <w:rPr>
          <w:sz w:val="20"/>
          <w:szCs w:val="20"/>
          <w:lang w:val="en-GB"/>
        </w:rPr>
        <w:t>Cenozoic</w:t>
      </w:r>
      <w:proofErr w:type="spellEnd"/>
      <w:r w:rsidRPr="00CB734F">
        <w:rPr>
          <w:sz w:val="20"/>
          <w:szCs w:val="20"/>
          <w:lang w:val="en-GB"/>
        </w:rPr>
        <w:t xml:space="preserve"> basins in the Eastern California Shear Zone. </w:t>
      </w:r>
      <w:r w:rsidRPr="00CB734F">
        <w:rPr>
          <w:iCs/>
          <w:sz w:val="20"/>
          <w:szCs w:val="20"/>
          <w:lang w:val="en-GB"/>
        </w:rPr>
        <w:t xml:space="preserve">Bull. </w:t>
      </w:r>
      <w:proofErr w:type="gramStart"/>
      <w:r w:rsidRPr="00CB734F">
        <w:rPr>
          <w:iCs/>
          <w:sz w:val="20"/>
          <w:szCs w:val="20"/>
          <w:lang w:val="en-GB"/>
        </w:rPr>
        <w:t>Seism.</w:t>
      </w:r>
      <w:proofErr w:type="gramEnd"/>
      <w:r w:rsidRPr="00CB734F">
        <w:rPr>
          <w:iCs/>
          <w:sz w:val="20"/>
          <w:szCs w:val="20"/>
          <w:lang w:val="en-GB"/>
        </w:rPr>
        <w:t xml:space="preserve"> Soc. Am.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92</w:t>
      </w:r>
      <w:r w:rsidRPr="00CB734F">
        <w:rPr>
          <w:sz w:val="20"/>
          <w:szCs w:val="20"/>
          <w:lang w:val="en-GB"/>
        </w:rPr>
        <w:t>(4), 1592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1605.</w:t>
      </w:r>
    </w:p>
    <w:p w14:paraId="061FDC8C" w14:textId="27FAE2F0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 xml:space="preserve">Kim, Y. S., Peacock, </w:t>
      </w:r>
      <w:r w:rsidR="00640890" w:rsidRPr="00CB734F">
        <w:rPr>
          <w:sz w:val="20"/>
          <w:szCs w:val="20"/>
          <w:lang w:val="en-GB"/>
        </w:rPr>
        <w:t>D. C. P., and Sanderson, D. J., 2003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 xml:space="preserve">Mesoscale strike-slip faults and damage zones at </w:t>
      </w:r>
      <w:proofErr w:type="spellStart"/>
      <w:r w:rsidRPr="00CB734F">
        <w:rPr>
          <w:sz w:val="20"/>
          <w:szCs w:val="20"/>
          <w:lang w:val="en-GB"/>
        </w:rPr>
        <w:t>Marsalforn</w:t>
      </w:r>
      <w:proofErr w:type="spellEnd"/>
      <w:r w:rsidRPr="00CB734F">
        <w:rPr>
          <w:sz w:val="20"/>
          <w:szCs w:val="20"/>
          <w:lang w:val="en-GB"/>
        </w:rPr>
        <w:t xml:space="preserve">, </w:t>
      </w:r>
      <w:proofErr w:type="spellStart"/>
      <w:r w:rsidRPr="00CB734F">
        <w:rPr>
          <w:sz w:val="20"/>
          <w:szCs w:val="20"/>
          <w:lang w:val="en-GB"/>
        </w:rPr>
        <w:t>Gozo</w:t>
      </w:r>
      <w:proofErr w:type="spellEnd"/>
      <w:r w:rsidRPr="00CB734F">
        <w:rPr>
          <w:sz w:val="20"/>
          <w:szCs w:val="20"/>
          <w:lang w:val="en-GB"/>
        </w:rPr>
        <w:t xml:space="preserve"> Island, Malta.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r w:rsidRPr="00CB734F">
        <w:rPr>
          <w:iCs/>
          <w:sz w:val="20"/>
          <w:szCs w:val="20"/>
          <w:lang w:val="en-GB"/>
        </w:rPr>
        <w:t>J. Struct. Geol.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25</w:t>
      </w:r>
      <w:r w:rsidRPr="00CB734F">
        <w:rPr>
          <w:sz w:val="20"/>
          <w:szCs w:val="20"/>
          <w:lang w:val="en-GB"/>
        </w:rPr>
        <w:t>(5), 793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812.</w:t>
      </w:r>
    </w:p>
    <w:p w14:paraId="753D2401" w14:textId="4FC06B7B" w:rsidR="007F16EC" w:rsidRPr="00CB734F" w:rsidRDefault="007F16EC" w:rsidP="007F16EC">
      <w:pPr>
        <w:ind w:left="426" w:hanging="426"/>
        <w:jc w:val="both"/>
        <w:rPr>
          <w:sz w:val="20"/>
          <w:szCs w:val="20"/>
          <w:lang w:val="en-US"/>
        </w:rPr>
      </w:pPr>
      <w:proofErr w:type="gramStart"/>
      <w:r w:rsidRPr="00CB734F">
        <w:rPr>
          <w:sz w:val="20"/>
          <w:szCs w:val="20"/>
          <w:lang w:val="en-US"/>
        </w:rPr>
        <w:t xml:space="preserve">Kirby, E., Harkins, N., Wang, E., Shi, X., Fan, C., </w:t>
      </w:r>
      <w:r w:rsidR="00640890" w:rsidRPr="00CB734F">
        <w:rPr>
          <w:sz w:val="20"/>
          <w:szCs w:val="20"/>
          <w:lang w:val="en-US"/>
        </w:rPr>
        <w:t>and Burbank, D., 2007</w:t>
      </w:r>
      <w:r w:rsidRPr="00CB734F">
        <w:rPr>
          <w:sz w:val="20"/>
          <w:szCs w:val="20"/>
          <w:lang w:val="en-US"/>
        </w:rPr>
        <w:t>.</w:t>
      </w:r>
      <w:proofErr w:type="gramEnd"/>
      <w:r w:rsidRPr="00CB734F">
        <w:rPr>
          <w:sz w:val="20"/>
          <w:szCs w:val="20"/>
          <w:lang w:val="en-US"/>
        </w:rPr>
        <w:t xml:space="preserve"> Slip rate gradients along the eastern Kunlun fault. </w:t>
      </w:r>
      <w:proofErr w:type="gramStart"/>
      <w:r w:rsidRPr="00CB734F">
        <w:rPr>
          <w:iCs/>
          <w:sz w:val="20"/>
          <w:szCs w:val="20"/>
          <w:lang w:val="en-US"/>
        </w:rPr>
        <w:t>Tectonics</w:t>
      </w:r>
      <w:r w:rsidRPr="00CB734F">
        <w:rPr>
          <w:sz w:val="20"/>
          <w:szCs w:val="20"/>
          <w:lang w:val="en-US"/>
        </w:rPr>
        <w:t xml:space="preserve">, </w:t>
      </w:r>
      <w:r w:rsidRPr="00CB734F">
        <w:rPr>
          <w:iCs/>
          <w:sz w:val="20"/>
          <w:szCs w:val="20"/>
          <w:lang w:val="en-US"/>
        </w:rPr>
        <w:t>26</w:t>
      </w:r>
      <w:r w:rsidRPr="00CB734F">
        <w:rPr>
          <w:sz w:val="20"/>
          <w:szCs w:val="20"/>
          <w:lang w:val="en-US"/>
        </w:rPr>
        <w:t>(2), p. TC2010.1-TC2010.16.</w:t>
      </w:r>
      <w:proofErr w:type="gramEnd"/>
    </w:p>
    <w:p w14:paraId="0F5CAA4C" w14:textId="056285D2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r w:rsidRPr="00CB734F">
        <w:rPr>
          <w:sz w:val="20"/>
          <w:szCs w:val="20"/>
          <w:lang w:val="en-GB"/>
        </w:rPr>
        <w:t xml:space="preserve">Kirkpatrick, J. D., </w:t>
      </w:r>
      <w:proofErr w:type="spellStart"/>
      <w:r w:rsidRPr="00CB734F">
        <w:rPr>
          <w:sz w:val="20"/>
          <w:szCs w:val="20"/>
          <w:lang w:val="en-GB"/>
        </w:rPr>
        <w:t>Shipton</w:t>
      </w:r>
      <w:proofErr w:type="spellEnd"/>
      <w:r w:rsidRPr="00CB734F">
        <w:rPr>
          <w:sz w:val="20"/>
          <w:szCs w:val="20"/>
          <w:lang w:val="en-GB"/>
        </w:rPr>
        <w:t xml:space="preserve">, Z. K., Evans, J. P., </w:t>
      </w:r>
      <w:proofErr w:type="spellStart"/>
      <w:r w:rsidRPr="00CB734F">
        <w:rPr>
          <w:sz w:val="20"/>
          <w:szCs w:val="20"/>
          <w:lang w:val="en-GB"/>
        </w:rPr>
        <w:t>Micklethwaite</w:t>
      </w:r>
      <w:proofErr w:type="spellEnd"/>
      <w:r w:rsidRPr="00CB734F">
        <w:rPr>
          <w:sz w:val="20"/>
          <w:szCs w:val="20"/>
          <w:lang w:val="en-GB"/>
        </w:rPr>
        <w:t>, S.</w:t>
      </w:r>
      <w:r w:rsidR="00640890" w:rsidRPr="00CB734F">
        <w:rPr>
          <w:sz w:val="20"/>
          <w:szCs w:val="20"/>
          <w:lang w:val="en-GB"/>
        </w:rPr>
        <w:t xml:space="preserve">, Lim, S. J., and </w:t>
      </w:r>
      <w:proofErr w:type="spellStart"/>
      <w:r w:rsidR="00640890" w:rsidRPr="00CB734F">
        <w:rPr>
          <w:sz w:val="20"/>
          <w:szCs w:val="20"/>
          <w:lang w:val="en-GB"/>
        </w:rPr>
        <w:t>McKillop</w:t>
      </w:r>
      <w:proofErr w:type="spellEnd"/>
      <w:r w:rsidR="00640890" w:rsidRPr="00CB734F">
        <w:rPr>
          <w:sz w:val="20"/>
          <w:szCs w:val="20"/>
          <w:lang w:val="en-GB"/>
        </w:rPr>
        <w:t>, P., 2008</w:t>
      </w:r>
      <w:r w:rsidRPr="00CB734F">
        <w:rPr>
          <w:sz w:val="20"/>
          <w:szCs w:val="20"/>
          <w:lang w:val="en-GB"/>
        </w:rPr>
        <w:t xml:space="preserve">. Strike‐slip fault terminations at </w:t>
      </w:r>
      <w:proofErr w:type="spellStart"/>
      <w:r w:rsidRPr="00CB734F">
        <w:rPr>
          <w:sz w:val="20"/>
          <w:szCs w:val="20"/>
          <w:lang w:val="en-GB"/>
        </w:rPr>
        <w:t>seismogenic</w:t>
      </w:r>
      <w:proofErr w:type="spellEnd"/>
      <w:r w:rsidRPr="00CB734F">
        <w:rPr>
          <w:sz w:val="20"/>
          <w:szCs w:val="20"/>
          <w:lang w:val="en-GB"/>
        </w:rPr>
        <w:t xml:space="preserve"> depths: The structure and kinematics of the Glacier Lakes fault, Sierra Nevada United States. </w:t>
      </w:r>
      <w:r w:rsidRPr="00CB734F">
        <w:rPr>
          <w:iCs/>
          <w:sz w:val="20"/>
          <w:szCs w:val="20"/>
          <w:lang w:val="en-GB"/>
        </w:rPr>
        <w:t xml:space="preserve">J. </w:t>
      </w:r>
      <w:proofErr w:type="spellStart"/>
      <w:r w:rsidRPr="00CB734F">
        <w:rPr>
          <w:iCs/>
          <w:sz w:val="20"/>
          <w:szCs w:val="20"/>
          <w:lang w:val="en-GB"/>
        </w:rPr>
        <w:t>Geoph</w:t>
      </w:r>
      <w:proofErr w:type="spellEnd"/>
      <w:r w:rsidRPr="00CB734F">
        <w:rPr>
          <w:iCs/>
          <w:sz w:val="20"/>
          <w:szCs w:val="20"/>
          <w:lang w:val="en-GB"/>
        </w:rPr>
        <w:t xml:space="preserve">. </w:t>
      </w:r>
      <w:proofErr w:type="gramStart"/>
      <w:r w:rsidRPr="00CB734F">
        <w:rPr>
          <w:iCs/>
          <w:sz w:val="20"/>
          <w:szCs w:val="20"/>
          <w:lang w:val="en-GB"/>
        </w:rPr>
        <w:t>Res.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113</w:t>
      </w:r>
      <w:r w:rsidRPr="00CB734F">
        <w:rPr>
          <w:sz w:val="20"/>
          <w:szCs w:val="20"/>
          <w:lang w:val="en-GB"/>
        </w:rPr>
        <w:t>(B4).</w:t>
      </w:r>
      <w:proofErr w:type="gramEnd"/>
    </w:p>
    <w:p w14:paraId="70FDEB5D" w14:textId="6AE8A668" w:rsidR="00DD1FC7" w:rsidRPr="00CB734F" w:rsidRDefault="00640890" w:rsidP="00DD1FC7">
      <w:pPr>
        <w:ind w:left="426" w:hanging="426"/>
        <w:jc w:val="both"/>
        <w:rPr>
          <w:sz w:val="20"/>
          <w:szCs w:val="20"/>
          <w:lang w:val="en-US"/>
        </w:rPr>
      </w:pPr>
      <w:proofErr w:type="gramStart"/>
      <w:r w:rsidRPr="00CB734F">
        <w:rPr>
          <w:sz w:val="20"/>
          <w:szCs w:val="20"/>
          <w:lang w:val="en-US"/>
        </w:rPr>
        <w:t>Lim, 1998.</w:t>
      </w:r>
      <w:proofErr w:type="gramEnd"/>
      <w:r w:rsidR="00DD1FC7" w:rsidRPr="00CB734F">
        <w:rPr>
          <w:sz w:val="20"/>
          <w:szCs w:val="20"/>
          <w:lang w:val="en-US"/>
        </w:rPr>
        <w:t xml:space="preserve"> Small strike slip faults in granitic rock: implications for </w:t>
      </w:r>
      <w:proofErr w:type="spellStart"/>
      <w:r w:rsidR="00DD1FC7" w:rsidRPr="00CB734F">
        <w:rPr>
          <w:sz w:val="20"/>
          <w:szCs w:val="20"/>
          <w:lang w:val="en-US"/>
        </w:rPr>
        <w:t>threedimensional</w:t>
      </w:r>
      <w:proofErr w:type="spellEnd"/>
      <w:r w:rsidR="00DD1FC7" w:rsidRPr="00CB734F">
        <w:rPr>
          <w:sz w:val="20"/>
          <w:szCs w:val="20"/>
          <w:lang w:val="en-US"/>
        </w:rPr>
        <w:t xml:space="preserve"> models, </w:t>
      </w:r>
      <w:proofErr w:type="spellStart"/>
      <w:r w:rsidR="00DD1FC7" w:rsidRPr="00CB734F">
        <w:rPr>
          <w:sz w:val="20"/>
          <w:szCs w:val="20"/>
          <w:lang w:val="en-US"/>
        </w:rPr>
        <w:t>Masters</w:t>
      </w:r>
      <w:proofErr w:type="spellEnd"/>
      <w:r w:rsidR="00DD1FC7" w:rsidRPr="00CB734F">
        <w:rPr>
          <w:sz w:val="20"/>
          <w:szCs w:val="20"/>
          <w:lang w:val="en-US"/>
        </w:rPr>
        <w:t xml:space="preserve"> Thesis, Utah State University, </w:t>
      </w:r>
      <w:proofErr w:type="gramStart"/>
      <w:r w:rsidR="00DD1FC7" w:rsidRPr="00CB734F">
        <w:rPr>
          <w:sz w:val="20"/>
          <w:szCs w:val="20"/>
          <w:lang w:val="en-US"/>
        </w:rPr>
        <w:t>Logan</w:t>
      </w:r>
      <w:proofErr w:type="gramEnd"/>
      <w:r w:rsidR="00DD1FC7" w:rsidRPr="00CB734F">
        <w:rPr>
          <w:sz w:val="20"/>
          <w:szCs w:val="20"/>
          <w:lang w:val="en-US"/>
        </w:rPr>
        <w:t>, Utah. 136pp.</w:t>
      </w:r>
    </w:p>
    <w:p w14:paraId="769FDA3E" w14:textId="7557A0B4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>McGrath, A. G.,</w:t>
      </w:r>
      <w:r w:rsidR="00640890" w:rsidRPr="00CB734F">
        <w:rPr>
          <w:sz w:val="20"/>
          <w:szCs w:val="20"/>
          <w:lang w:val="en-GB"/>
        </w:rPr>
        <w:t xml:space="preserve"> and Davison, I., 1995.</w:t>
      </w:r>
      <w:proofErr w:type="gramEnd"/>
      <w:r w:rsidRPr="00CB734F">
        <w:rPr>
          <w:sz w:val="20"/>
          <w:szCs w:val="20"/>
          <w:lang w:val="en-GB"/>
        </w:rPr>
        <w:t xml:space="preserve"> Damage zone geometry around fault tips. </w:t>
      </w:r>
      <w:r w:rsidRPr="00CB734F">
        <w:rPr>
          <w:iCs/>
          <w:sz w:val="20"/>
          <w:szCs w:val="20"/>
          <w:lang w:val="en-GB"/>
        </w:rPr>
        <w:t>J. Struct. Geol.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17</w:t>
      </w:r>
      <w:r w:rsidRPr="00CB734F">
        <w:rPr>
          <w:sz w:val="20"/>
          <w:szCs w:val="20"/>
          <w:lang w:val="en-GB"/>
        </w:rPr>
        <w:t>(7), 1011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1024.</w:t>
      </w:r>
    </w:p>
    <w:p w14:paraId="6D847D9F" w14:textId="6437166A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 xml:space="preserve">McLeod, A. E., N. </w:t>
      </w:r>
      <w:r w:rsidR="00640890" w:rsidRPr="00CB734F">
        <w:rPr>
          <w:sz w:val="20"/>
          <w:szCs w:val="20"/>
          <w:lang w:val="en-GB"/>
        </w:rPr>
        <w:t xml:space="preserve">H. </w:t>
      </w:r>
      <w:proofErr w:type="spellStart"/>
      <w:r w:rsidR="00640890" w:rsidRPr="00CB734F">
        <w:rPr>
          <w:sz w:val="20"/>
          <w:szCs w:val="20"/>
          <w:lang w:val="en-GB"/>
        </w:rPr>
        <w:t>Dawers</w:t>
      </w:r>
      <w:proofErr w:type="spellEnd"/>
      <w:r w:rsidR="00640890" w:rsidRPr="00CB734F">
        <w:rPr>
          <w:sz w:val="20"/>
          <w:szCs w:val="20"/>
          <w:lang w:val="en-GB"/>
        </w:rPr>
        <w:t>, and J. R. Underhill, 2000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The propagation and linkage of normal faults: insights from the </w:t>
      </w:r>
      <w:proofErr w:type="spellStart"/>
      <w:r w:rsidRPr="00CB734F">
        <w:rPr>
          <w:sz w:val="20"/>
          <w:szCs w:val="20"/>
          <w:lang w:val="en-GB"/>
        </w:rPr>
        <w:t>Strathspey</w:t>
      </w:r>
      <w:proofErr w:type="spellEnd"/>
      <w:r w:rsidRPr="00CB734F">
        <w:rPr>
          <w:sz w:val="20"/>
          <w:szCs w:val="20"/>
          <w:lang w:val="en-GB"/>
        </w:rPr>
        <w:t>-Brent-</w:t>
      </w:r>
      <w:proofErr w:type="spellStart"/>
      <w:r w:rsidRPr="00CB734F">
        <w:rPr>
          <w:sz w:val="20"/>
          <w:szCs w:val="20"/>
          <w:lang w:val="en-GB"/>
        </w:rPr>
        <w:t>Statfjord</w:t>
      </w:r>
      <w:proofErr w:type="spellEnd"/>
      <w:r w:rsidRPr="00CB734F">
        <w:rPr>
          <w:sz w:val="20"/>
          <w:szCs w:val="20"/>
          <w:lang w:val="en-GB"/>
        </w:rPr>
        <w:t xml:space="preserve"> fault array, northern North Sea, Basin Research, 12, 263–284.</w:t>
      </w:r>
    </w:p>
    <w:p w14:paraId="0ED43BC5" w14:textId="19E7D544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US"/>
        </w:rPr>
      </w:pPr>
      <w:r w:rsidRPr="00CB734F">
        <w:rPr>
          <w:sz w:val="20"/>
          <w:szCs w:val="20"/>
          <w:lang w:val="en-US"/>
        </w:rPr>
        <w:t xml:space="preserve">Manighetti, I., Tapponnier, P., </w:t>
      </w:r>
      <w:proofErr w:type="spellStart"/>
      <w:r w:rsidRPr="00CB734F">
        <w:rPr>
          <w:sz w:val="20"/>
          <w:szCs w:val="20"/>
          <w:lang w:val="en-US"/>
        </w:rPr>
        <w:t>Gillot</w:t>
      </w:r>
      <w:proofErr w:type="spellEnd"/>
      <w:r w:rsidRPr="00CB734F">
        <w:rPr>
          <w:sz w:val="20"/>
          <w:szCs w:val="20"/>
          <w:lang w:val="en-US"/>
        </w:rPr>
        <w:t xml:space="preserve">, P. Y., Jacques, E., Courtillot, V., Armijo, R., </w:t>
      </w:r>
      <w:proofErr w:type="spellStart"/>
      <w:r w:rsidRPr="00CB734F">
        <w:rPr>
          <w:sz w:val="20"/>
          <w:szCs w:val="20"/>
          <w:lang w:val="en-US"/>
        </w:rPr>
        <w:t>Ruegg</w:t>
      </w:r>
      <w:proofErr w:type="spellEnd"/>
      <w:r w:rsidRPr="00CB734F">
        <w:rPr>
          <w:sz w:val="20"/>
          <w:szCs w:val="20"/>
          <w:lang w:val="en-US"/>
        </w:rPr>
        <w:t>, J.C. and King, G.</w:t>
      </w:r>
      <w:r w:rsidR="00640890" w:rsidRPr="00CB734F">
        <w:rPr>
          <w:sz w:val="20"/>
          <w:szCs w:val="20"/>
          <w:lang w:val="en-US"/>
        </w:rPr>
        <w:t>, 1998</w:t>
      </w:r>
      <w:r w:rsidRPr="00CB734F">
        <w:rPr>
          <w:sz w:val="20"/>
          <w:szCs w:val="20"/>
          <w:lang w:val="en-US"/>
        </w:rPr>
        <w:t xml:space="preserve">. Propagation of rifting along the Arabia‐Somalia plate boundary: Into Afar. </w:t>
      </w:r>
      <w:r w:rsidRPr="00CB734F">
        <w:rPr>
          <w:iCs/>
          <w:sz w:val="20"/>
          <w:szCs w:val="20"/>
          <w:lang w:val="en-US"/>
        </w:rPr>
        <w:t xml:space="preserve">J. </w:t>
      </w:r>
      <w:proofErr w:type="spellStart"/>
      <w:r w:rsidRPr="00CB734F">
        <w:rPr>
          <w:iCs/>
          <w:sz w:val="20"/>
          <w:szCs w:val="20"/>
          <w:lang w:val="en-US"/>
        </w:rPr>
        <w:t>Geoph</w:t>
      </w:r>
      <w:proofErr w:type="spellEnd"/>
      <w:r w:rsidRPr="00CB734F">
        <w:rPr>
          <w:iCs/>
          <w:sz w:val="20"/>
          <w:szCs w:val="20"/>
          <w:lang w:val="en-US"/>
        </w:rPr>
        <w:t xml:space="preserve">. </w:t>
      </w:r>
      <w:proofErr w:type="gramStart"/>
      <w:r w:rsidRPr="00CB734F">
        <w:rPr>
          <w:iCs/>
          <w:sz w:val="20"/>
          <w:szCs w:val="20"/>
          <w:lang w:val="en-US"/>
        </w:rPr>
        <w:t>Res.</w:t>
      </w:r>
      <w:r w:rsidRPr="00CB734F">
        <w:rPr>
          <w:sz w:val="20"/>
          <w:szCs w:val="20"/>
          <w:lang w:val="en-US"/>
        </w:rPr>
        <w:t xml:space="preserve">, </w:t>
      </w:r>
      <w:r w:rsidRPr="00CB734F">
        <w:rPr>
          <w:iCs/>
          <w:sz w:val="20"/>
          <w:szCs w:val="20"/>
          <w:lang w:val="en-US"/>
        </w:rPr>
        <w:t>103</w:t>
      </w:r>
      <w:r w:rsidRPr="00CB734F">
        <w:rPr>
          <w:sz w:val="20"/>
          <w:szCs w:val="20"/>
          <w:lang w:val="en-US"/>
        </w:rPr>
        <w:t>(B3), 4947</w:t>
      </w:r>
      <w:r w:rsidR="00CB734F" w:rsidRPr="00CB734F">
        <w:rPr>
          <w:sz w:val="20"/>
          <w:szCs w:val="20"/>
          <w:lang w:val="en-US"/>
        </w:rPr>
        <w:t>–</w:t>
      </w:r>
      <w:r w:rsidRPr="00CB734F">
        <w:rPr>
          <w:sz w:val="20"/>
          <w:szCs w:val="20"/>
          <w:lang w:val="en-US"/>
        </w:rPr>
        <w:t>4974.</w:t>
      </w:r>
      <w:proofErr w:type="gramEnd"/>
    </w:p>
    <w:p w14:paraId="7F05A38B" w14:textId="4327A003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US"/>
        </w:rPr>
      </w:pPr>
      <w:r w:rsidRPr="00CB734F">
        <w:rPr>
          <w:sz w:val="20"/>
          <w:szCs w:val="20"/>
          <w:lang w:val="en-US"/>
        </w:rPr>
        <w:t xml:space="preserve">Manighetti, I., Tapponnier, P., Courtillot, V., </w:t>
      </w:r>
      <w:proofErr w:type="spellStart"/>
      <w:r w:rsidRPr="00CB734F">
        <w:rPr>
          <w:sz w:val="20"/>
          <w:szCs w:val="20"/>
          <w:lang w:val="en-US"/>
        </w:rPr>
        <w:t>Gallet</w:t>
      </w:r>
      <w:proofErr w:type="spellEnd"/>
      <w:r w:rsidRPr="00CB734F">
        <w:rPr>
          <w:sz w:val="20"/>
          <w:szCs w:val="20"/>
          <w:lang w:val="en-US"/>
        </w:rPr>
        <w:t xml:space="preserve">, Y., </w:t>
      </w:r>
      <w:r w:rsidR="00640890" w:rsidRPr="00CB734F">
        <w:rPr>
          <w:sz w:val="20"/>
          <w:szCs w:val="20"/>
          <w:lang w:val="en-US"/>
        </w:rPr>
        <w:t xml:space="preserve">Jacques, E., and </w:t>
      </w:r>
      <w:proofErr w:type="spellStart"/>
      <w:r w:rsidR="00640890" w:rsidRPr="00CB734F">
        <w:rPr>
          <w:sz w:val="20"/>
          <w:szCs w:val="20"/>
          <w:lang w:val="en-US"/>
        </w:rPr>
        <w:t>Gillot</w:t>
      </w:r>
      <w:proofErr w:type="spellEnd"/>
      <w:r w:rsidR="00640890" w:rsidRPr="00CB734F">
        <w:rPr>
          <w:sz w:val="20"/>
          <w:szCs w:val="20"/>
          <w:lang w:val="en-US"/>
        </w:rPr>
        <w:t>, P. Y., 2001</w:t>
      </w:r>
      <w:r w:rsidRPr="00CB734F">
        <w:rPr>
          <w:sz w:val="20"/>
          <w:szCs w:val="20"/>
          <w:lang w:val="en-US"/>
        </w:rPr>
        <w:t xml:space="preserve">. Strain transfer between disconnected, propagating rifts in Afar. </w:t>
      </w:r>
      <w:r w:rsidRPr="00CB734F">
        <w:rPr>
          <w:iCs/>
          <w:sz w:val="20"/>
          <w:szCs w:val="20"/>
          <w:lang w:val="en-US"/>
        </w:rPr>
        <w:t xml:space="preserve">J. </w:t>
      </w:r>
      <w:proofErr w:type="spellStart"/>
      <w:r w:rsidRPr="00CB734F">
        <w:rPr>
          <w:iCs/>
          <w:sz w:val="20"/>
          <w:szCs w:val="20"/>
          <w:lang w:val="en-US"/>
        </w:rPr>
        <w:t>Geoph</w:t>
      </w:r>
      <w:proofErr w:type="spellEnd"/>
      <w:r w:rsidRPr="00CB734F">
        <w:rPr>
          <w:iCs/>
          <w:sz w:val="20"/>
          <w:szCs w:val="20"/>
          <w:lang w:val="en-US"/>
        </w:rPr>
        <w:t>. Res.</w:t>
      </w:r>
      <w:r w:rsidRPr="00CB734F">
        <w:rPr>
          <w:sz w:val="20"/>
          <w:szCs w:val="20"/>
          <w:lang w:val="en-US"/>
        </w:rPr>
        <w:t xml:space="preserve">, </w:t>
      </w:r>
      <w:r w:rsidRPr="00CB734F">
        <w:rPr>
          <w:iCs/>
          <w:sz w:val="20"/>
          <w:szCs w:val="20"/>
          <w:lang w:val="en-US"/>
        </w:rPr>
        <w:t>106</w:t>
      </w:r>
      <w:r w:rsidRPr="00CB734F">
        <w:rPr>
          <w:sz w:val="20"/>
          <w:szCs w:val="20"/>
          <w:lang w:val="en-US"/>
        </w:rPr>
        <w:t>(B7), 13613</w:t>
      </w:r>
      <w:r w:rsidR="00CB734F" w:rsidRPr="00CB734F">
        <w:rPr>
          <w:sz w:val="20"/>
          <w:szCs w:val="20"/>
          <w:lang w:val="en-US"/>
        </w:rPr>
        <w:t>–</w:t>
      </w:r>
      <w:r w:rsidRPr="00CB734F">
        <w:rPr>
          <w:sz w:val="20"/>
          <w:szCs w:val="20"/>
          <w:lang w:val="en-US"/>
        </w:rPr>
        <w:t>13665.</w:t>
      </w:r>
    </w:p>
    <w:p w14:paraId="1660076E" w14:textId="42C640ED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US"/>
        </w:rPr>
      </w:pPr>
      <w:r w:rsidRPr="00CB734F">
        <w:rPr>
          <w:sz w:val="20"/>
          <w:szCs w:val="20"/>
          <w:lang w:val="en-US"/>
        </w:rPr>
        <w:t>Mansfield, C., and Cart</w:t>
      </w:r>
      <w:r w:rsidR="00640890" w:rsidRPr="00CB734F">
        <w:rPr>
          <w:sz w:val="20"/>
          <w:szCs w:val="20"/>
          <w:lang w:val="en-US"/>
        </w:rPr>
        <w:t>wright, J., 2001</w:t>
      </w:r>
      <w:r w:rsidRPr="00CB734F">
        <w:rPr>
          <w:sz w:val="20"/>
          <w:szCs w:val="20"/>
          <w:lang w:val="en-US"/>
        </w:rPr>
        <w:t xml:space="preserve">. Fault growth by linkage: observations and implications from analogue models. </w:t>
      </w:r>
      <w:r w:rsidRPr="00CB734F">
        <w:rPr>
          <w:iCs/>
          <w:sz w:val="20"/>
          <w:szCs w:val="20"/>
          <w:lang w:val="en-US"/>
        </w:rPr>
        <w:t>J. Struct. Geol.</w:t>
      </w:r>
      <w:r w:rsidRPr="00CB734F">
        <w:rPr>
          <w:sz w:val="20"/>
          <w:szCs w:val="20"/>
          <w:lang w:val="en-US"/>
        </w:rPr>
        <w:t xml:space="preserve">, </w:t>
      </w:r>
      <w:r w:rsidRPr="00CB734F">
        <w:rPr>
          <w:iCs/>
          <w:sz w:val="20"/>
          <w:szCs w:val="20"/>
          <w:lang w:val="en-US"/>
        </w:rPr>
        <w:t>23</w:t>
      </w:r>
      <w:r w:rsidRPr="00CB734F">
        <w:rPr>
          <w:sz w:val="20"/>
          <w:szCs w:val="20"/>
          <w:lang w:val="en-US"/>
        </w:rPr>
        <w:t>(5), 745</w:t>
      </w:r>
      <w:r w:rsidR="00CB734F" w:rsidRPr="00CB734F">
        <w:rPr>
          <w:sz w:val="20"/>
          <w:szCs w:val="20"/>
          <w:lang w:val="en-US"/>
        </w:rPr>
        <w:t>–</w:t>
      </w:r>
      <w:r w:rsidRPr="00CB734F">
        <w:rPr>
          <w:sz w:val="20"/>
          <w:szCs w:val="20"/>
          <w:lang w:val="en-US"/>
        </w:rPr>
        <w:t>763.</w:t>
      </w:r>
    </w:p>
    <w:p w14:paraId="2E214D06" w14:textId="3627FE76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 xml:space="preserve">Meyer, B., </w:t>
      </w:r>
      <w:proofErr w:type="spellStart"/>
      <w:r w:rsidRPr="00CB734F">
        <w:rPr>
          <w:sz w:val="20"/>
          <w:szCs w:val="20"/>
          <w:lang w:val="en-GB"/>
        </w:rPr>
        <w:t>Tapponnier</w:t>
      </w:r>
      <w:proofErr w:type="spellEnd"/>
      <w:r w:rsidRPr="00CB734F">
        <w:rPr>
          <w:sz w:val="20"/>
          <w:szCs w:val="20"/>
          <w:lang w:val="en-GB"/>
        </w:rPr>
        <w:t xml:space="preserve">, P., </w:t>
      </w:r>
      <w:proofErr w:type="spellStart"/>
      <w:r w:rsidRPr="00CB734F">
        <w:rPr>
          <w:sz w:val="20"/>
          <w:szCs w:val="20"/>
          <w:lang w:val="en-GB"/>
        </w:rPr>
        <w:t>Bourjot</w:t>
      </w:r>
      <w:proofErr w:type="spellEnd"/>
      <w:r w:rsidRPr="00CB734F">
        <w:rPr>
          <w:sz w:val="20"/>
          <w:szCs w:val="20"/>
          <w:lang w:val="en-GB"/>
        </w:rPr>
        <w:t xml:space="preserve">, L., </w:t>
      </w:r>
      <w:proofErr w:type="spellStart"/>
      <w:r w:rsidRPr="00CB734F">
        <w:rPr>
          <w:sz w:val="20"/>
          <w:szCs w:val="20"/>
          <w:lang w:val="en-GB"/>
        </w:rPr>
        <w:t>Metivier</w:t>
      </w:r>
      <w:proofErr w:type="spellEnd"/>
      <w:r w:rsidRPr="00CB734F">
        <w:rPr>
          <w:sz w:val="20"/>
          <w:szCs w:val="20"/>
          <w:lang w:val="en-GB"/>
        </w:rPr>
        <w:t xml:space="preserve">, F., </w:t>
      </w:r>
      <w:proofErr w:type="spellStart"/>
      <w:r w:rsidRPr="00CB734F">
        <w:rPr>
          <w:sz w:val="20"/>
          <w:szCs w:val="20"/>
          <w:lang w:val="en-GB"/>
        </w:rPr>
        <w:t>Gaudemer</w:t>
      </w:r>
      <w:proofErr w:type="spellEnd"/>
      <w:r w:rsidRPr="00CB734F">
        <w:rPr>
          <w:sz w:val="20"/>
          <w:szCs w:val="20"/>
          <w:lang w:val="en-GB"/>
        </w:rPr>
        <w:t xml:space="preserve">, Y., </w:t>
      </w:r>
      <w:proofErr w:type="spellStart"/>
      <w:r w:rsidRPr="00CB734F">
        <w:rPr>
          <w:sz w:val="20"/>
          <w:szCs w:val="20"/>
          <w:lang w:val="en-GB"/>
        </w:rPr>
        <w:t>Peltzer</w:t>
      </w:r>
      <w:proofErr w:type="spellEnd"/>
      <w:r w:rsidRPr="00CB734F">
        <w:rPr>
          <w:sz w:val="20"/>
          <w:szCs w:val="20"/>
          <w:lang w:val="en-GB"/>
        </w:rPr>
        <w:t xml:space="preserve">, </w:t>
      </w:r>
      <w:r w:rsidR="00640890" w:rsidRPr="00CB734F">
        <w:rPr>
          <w:sz w:val="20"/>
          <w:szCs w:val="20"/>
          <w:lang w:val="en-GB"/>
        </w:rPr>
        <w:t xml:space="preserve">G., </w:t>
      </w:r>
      <w:proofErr w:type="spellStart"/>
      <w:r w:rsidR="00640890" w:rsidRPr="00CB734F">
        <w:rPr>
          <w:sz w:val="20"/>
          <w:szCs w:val="20"/>
          <w:lang w:val="en-GB"/>
        </w:rPr>
        <w:t>Shunmin</w:t>
      </w:r>
      <w:proofErr w:type="spellEnd"/>
      <w:r w:rsidR="00640890" w:rsidRPr="00CB734F">
        <w:rPr>
          <w:sz w:val="20"/>
          <w:szCs w:val="20"/>
          <w:lang w:val="en-GB"/>
        </w:rPr>
        <w:t xml:space="preserve">, G. and </w:t>
      </w:r>
      <w:proofErr w:type="spellStart"/>
      <w:r w:rsidR="00640890" w:rsidRPr="00CB734F">
        <w:rPr>
          <w:sz w:val="20"/>
          <w:szCs w:val="20"/>
          <w:lang w:val="en-GB"/>
        </w:rPr>
        <w:t>Zhitai</w:t>
      </w:r>
      <w:proofErr w:type="spellEnd"/>
      <w:r w:rsidR="00640890" w:rsidRPr="00CB734F">
        <w:rPr>
          <w:sz w:val="20"/>
          <w:szCs w:val="20"/>
          <w:lang w:val="en-GB"/>
        </w:rPr>
        <w:t>, C., 1998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Crustal thickening in Gansu-Qinghai, lithospheric mantle subduction, and oblique, strike-slip controlled growth of the Tibet plateau. </w:t>
      </w:r>
      <w:proofErr w:type="spellStart"/>
      <w:proofErr w:type="gramStart"/>
      <w:r w:rsidRPr="00CB734F">
        <w:rPr>
          <w:iCs/>
          <w:sz w:val="20"/>
          <w:szCs w:val="20"/>
          <w:lang w:val="en-GB"/>
        </w:rPr>
        <w:t>Geoph</w:t>
      </w:r>
      <w:proofErr w:type="spellEnd"/>
      <w:r w:rsidRPr="00CB734F">
        <w:rPr>
          <w:iCs/>
          <w:sz w:val="20"/>
          <w:szCs w:val="20"/>
          <w:lang w:val="en-GB"/>
        </w:rPr>
        <w:t>.</w:t>
      </w:r>
      <w:proofErr w:type="gramEnd"/>
      <w:r w:rsidRPr="00CB734F">
        <w:rPr>
          <w:iCs/>
          <w:sz w:val="20"/>
          <w:szCs w:val="20"/>
          <w:lang w:val="en-GB"/>
        </w:rPr>
        <w:t xml:space="preserve"> J. Int.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135</w:t>
      </w:r>
      <w:r w:rsidRPr="00CB734F">
        <w:rPr>
          <w:sz w:val="20"/>
          <w:szCs w:val="20"/>
          <w:lang w:val="en-GB"/>
        </w:rPr>
        <w:t>(1), 1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47.</w:t>
      </w:r>
    </w:p>
    <w:p w14:paraId="3AC443E7" w14:textId="0AA3CFB5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t>Morew</w:t>
      </w:r>
      <w:r w:rsidR="00640890" w:rsidRPr="00CB734F">
        <w:rPr>
          <w:sz w:val="20"/>
          <w:szCs w:val="20"/>
          <w:lang w:val="en-GB"/>
        </w:rPr>
        <w:t>ood</w:t>
      </w:r>
      <w:proofErr w:type="spellEnd"/>
      <w:r w:rsidR="00640890" w:rsidRPr="00CB734F">
        <w:rPr>
          <w:sz w:val="20"/>
          <w:szCs w:val="20"/>
          <w:lang w:val="en-GB"/>
        </w:rPr>
        <w:t>, N. C., and Roberts, G. P., 1999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Lateral propagation of the surface trace of the South </w:t>
      </w:r>
      <w:proofErr w:type="spellStart"/>
      <w:r w:rsidRPr="00CB734F">
        <w:rPr>
          <w:sz w:val="20"/>
          <w:szCs w:val="20"/>
          <w:lang w:val="en-GB"/>
        </w:rPr>
        <w:t>Alkyonides</w:t>
      </w:r>
      <w:proofErr w:type="spellEnd"/>
      <w:r w:rsidRPr="00CB734F">
        <w:rPr>
          <w:sz w:val="20"/>
          <w:szCs w:val="20"/>
          <w:lang w:val="en-GB"/>
        </w:rPr>
        <w:t xml:space="preserve"> normal fault segment, central Greece: its impact on models of fault growth and displacement–length relationships. </w:t>
      </w:r>
      <w:r w:rsidRPr="00CB734F">
        <w:rPr>
          <w:iCs/>
          <w:sz w:val="20"/>
          <w:szCs w:val="20"/>
          <w:lang w:val="en-GB"/>
        </w:rPr>
        <w:t>J. Struct. Geol.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21</w:t>
      </w:r>
      <w:r w:rsidRPr="00CB734F">
        <w:rPr>
          <w:sz w:val="20"/>
          <w:szCs w:val="20"/>
          <w:lang w:val="en-GB"/>
        </w:rPr>
        <w:t>(6), 635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652.</w:t>
      </w:r>
    </w:p>
    <w:p w14:paraId="24D470DE" w14:textId="1C86A029" w:rsidR="003C446F" w:rsidRPr="00CB734F" w:rsidRDefault="003C446F" w:rsidP="003C446F">
      <w:pPr>
        <w:ind w:left="426" w:hanging="426"/>
        <w:jc w:val="both"/>
        <w:rPr>
          <w:sz w:val="20"/>
          <w:szCs w:val="20"/>
          <w:lang w:val="en-US"/>
        </w:rPr>
      </w:pPr>
      <w:r w:rsidRPr="00CB734F">
        <w:rPr>
          <w:sz w:val="20"/>
          <w:szCs w:val="20"/>
          <w:lang w:val="en-US"/>
        </w:rPr>
        <w:t>Nicol, A., Walsh, J.,</w:t>
      </w:r>
      <w:r w:rsidR="00640890" w:rsidRPr="00CB734F">
        <w:rPr>
          <w:sz w:val="20"/>
          <w:szCs w:val="20"/>
          <w:lang w:val="en-US"/>
        </w:rPr>
        <w:t xml:space="preserve"> Berryman, K., and </w:t>
      </w:r>
      <w:proofErr w:type="spellStart"/>
      <w:r w:rsidR="00640890" w:rsidRPr="00CB734F">
        <w:rPr>
          <w:sz w:val="20"/>
          <w:szCs w:val="20"/>
          <w:lang w:val="en-US"/>
        </w:rPr>
        <w:t>Nodder</w:t>
      </w:r>
      <w:proofErr w:type="spellEnd"/>
      <w:r w:rsidR="00640890" w:rsidRPr="00CB734F">
        <w:rPr>
          <w:sz w:val="20"/>
          <w:szCs w:val="20"/>
          <w:lang w:val="en-US"/>
        </w:rPr>
        <w:t>, S., 2005</w:t>
      </w:r>
      <w:r w:rsidRPr="00CB734F">
        <w:rPr>
          <w:sz w:val="20"/>
          <w:szCs w:val="20"/>
          <w:lang w:val="en-US"/>
        </w:rPr>
        <w:t xml:space="preserve">. </w:t>
      </w:r>
      <w:proofErr w:type="gramStart"/>
      <w:r w:rsidRPr="00CB734F">
        <w:rPr>
          <w:sz w:val="20"/>
          <w:szCs w:val="20"/>
          <w:lang w:val="en-US"/>
        </w:rPr>
        <w:t>Growth of a normal fault by the accumulation of slip over millions of years.</w:t>
      </w:r>
      <w:proofErr w:type="gramEnd"/>
      <w:r w:rsidRPr="00CB734F">
        <w:rPr>
          <w:sz w:val="20"/>
          <w:szCs w:val="20"/>
          <w:lang w:val="en-US"/>
        </w:rPr>
        <w:t xml:space="preserve"> </w:t>
      </w:r>
      <w:r w:rsidRPr="00CB734F">
        <w:rPr>
          <w:iCs/>
          <w:sz w:val="20"/>
          <w:szCs w:val="20"/>
          <w:lang w:val="en-US"/>
        </w:rPr>
        <w:t>J. Struct. Geol.</w:t>
      </w:r>
      <w:r w:rsidRPr="00CB734F">
        <w:rPr>
          <w:sz w:val="20"/>
          <w:szCs w:val="20"/>
          <w:lang w:val="en-US"/>
        </w:rPr>
        <w:t xml:space="preserve">, </w:t>
      </w:r>
      <w:r w:rsidRPr="00CB734F">
        <w:rPr>
          <w:iCs/>
          <w:sz w:val="20"/>
          <w:szCs w:val="20"/>
          <w:lang w:val="en-US"/>
        </w:rPr>
        <w:t>27</w:t>
      </w:r>
      <w:r w:rsidRPr="00CB734F">
        <w:rPr>
          <w:sz w:val="20"/>
          <w:szCs w:val="20"/>
          <w:lang w:val="en-US"/>
        </w:rPr>
        <w:t>(2), 327</w:t>
      </w:r>
      <w:r w:rsidR="00CB734F" w:rsidRPr="00CB734F">
        <w:rPr>
          <w:sz w:val="20"/>
          <w:szCs w:val="20"/>
          <w:lang w:val="en-US"/>
        </w:rPr>
        <w:t>–</w:t>
      </w:r>
      <w:r w:rsidRPr="00CB734F">
        <w:rPr>
          <w:sz w:val="20"/>
          <w:szCs w:val="20"/>
          <w:lang w:val="en-US"/>
        </w:rPr>
        <w:t>342.</w:t>
      </w:r>
    </w:p>
    <w:p w14:paraId="0CB604C2" w14:textId="69C2848E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t>Nicol</w:t>
      </w:r>
      <w:proofErr w:type="spellEnd"/>
      <w:r w:rsidRPr="00CB734F">
        <w:rPr>
          <w:sz w:val="20"/>
          <w:szCs w:val="20"/>
          <w:lang w:val="en-GB"/>
        </w:rPr>
        <w:t xml:space="preserve">, A., Walsh, J. J., </w:t>
      </w:r>
      <w:proofErr w:type="spellStart"/>
      <w:r w:rsidRPr="00CB734F">
        <w:rPr>
          <w:sz w:val="20"/>
          <w:szCs w:val="20"/>
          <w:lang w:val="en-GB"/>
        </w:rPr>
        <w:t>Villamor</w:t>
      </w:r>
      <w:proofErr w:type="spellEnd"/>
      <w:r w:rsidRPr="00CB734F">
        <w:rPr>
          <w:sz w:val="20"/>
          <w:szCs w:val="20"/>
          <w:lang w:val="en-GB"/>
        </w:rPr>
        <w:t xml:space="preserve">, P., </w:t>
      </w:r>
      <w:proofErr w:type="spellStart"/>
      <w:r w:rsidRPr="00CB734F">
        <w:rPr>
          <w:sz w:val="20"/>
          <w:szCs w:val="20"/>
          <w:lang w:val="en-GB"/>
        </w:rPr>
        <w:t>Seebeck</w:t>
      </w:r>
      <w:proofErr w:type="spellEnd"/>
      <w:r w:rsidRPr="00CB734F">
        <w:rPr>
          <w:sz w:val="20"/>
          <w:szCs w:val="20"/>
          <w:lang w:val="en-GB"/>
        </w:rPr>
        <w:t>, H., and Berryman, K. R.</w:t>
      </w:r>
      <w:r w:rsidR="00640890" w:rsidRPr="00CB734F">
        <w:rPr>
          <w:sz w:val="20"/>
          <w:szCs w:val="20"/>
          <w:lang w:val="en-GB"/>
        </w:rPr>
        <w:t>, 2010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 xml:space="preserve">Normal fault interactions, </w:t>
      </w:r>
      <w:proofErr w:type="spellStart"/>
      <w:r w:rsidRPr="00CB734F">
        <w:rPr>
          <w:sz w:val="20"/>
          <w:szCs w:val="20"/>
          <w:lang w:val="en-GB"/>
        </w:rPr>
        <w:t>paleoearthquakes</w:t>
      </w:r>
      <w:proofErr w:type="spellEnd"/>
      <w:r w:rsidRPr="00CB734F">
        <w:rPr>
          <w:sz w:val="20"/>
          <w:szCs w:val="20"/>
          <w:lang w:val="en-GB"/>
        </w:rPr>
        <w:t xml:space="preserve"> and growth in an active rift.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r w:rsidRPr="00CB734F">
        <w:rPr>
          <w:iCs/>
          <w:sz w:val="20"/>
          <w:szCs w:val="20"/>
          <w:lang w:val="en-GB"/>
        </w:rPr>
        <w:t>J. Struct. Geol.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32</w:t>
      </w:r>
      <w:r w:rsidRPr="00CB734F">
        <w:rPr>
          <w:sz w:val="20"/>
          <w:szCs w:val="20"/>
          <w:lang w:val="en-GB"/>
        </w:rPr>
        <w:t>(8), 1101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1113.</w:t>
      </w:r>
    </w:p>
    <w:p w14:paraId="3DE13229" w14:textId="72824E0D" w:rsidR="00DD1FC7" w:rsidRPr="00CB734F" w:rsidRDefault="00640890" w:rsidP="00DD1FC7">
      <w:pPr>
        <w:ind w:left="426" w:hanging="426"/>
        <w:jc w:val="both"/>
        <w:rPr>
          <w:sz w:val="20"/>
          <w:szCs w:val="20"/>
          <w:lang w:val="en-US"/>
        </w:rPr>
      </w:pPr>
      <w:proofErr w:type="gramStart"/>
      <w:r w:rsidRPr="00CB734F">
        <w:rPr>
          <w:sz w:val="20"/>
          <w:szCs w:val="20"/>
          <w:lang w:val="en-US"/>
        </w:rPr>
        <w:t>Otsuki, K., and Dilov, T., 2005</w:t>
      </w:r>
      <w:r w:rsidR="00DD1FC7" w:rsidRPr="00CB734F">
        <w:rPr>
          <w:sz w:val="20"/>
          <w:szCs w:val="20"/>
          <w:lang w:val="en-US"/>
        </w:rPr>
        <w:t>.</w:t>
      </w:r>
      <w:proofErr w:type="gramEnd"/>
      <w:r w:rsidR="00DD1FC7" w:rsidRPr="00CB734F">
        <w:rPr>
          <w:sz w:val="20"/>
          <w:szCs w:val="20"/>
          <w:lang w:val="en-US"/>
        </w:rPr>
        <w:t xml:space="preserve"> Evolution of hierarchical self‐similar geometry of experimental fault zones: Implications for seismic nucleation and earthquake size. </w:t>
      </w:r>
      <w:r w:rsidR="00DD1FC7" w:rsidRPr="00CB734F">
        <w:rPr>
          <w:iCs/>
          <w:sz w:val="20"/>
          <w:szCs w:val="20"/>
          <w:lang w:val="en-US"/>
        </w:rPr>
        <w:t xml:space="preserve">J. Geophys. </w:t>
      </w:r>
      <w:proofErr w:type="gramStart"/>
      <w:r w:rsidR="00DD1FC7" w:rsidRPr="00CB734F">
        <w:rPr>
          <w:iCs/>
          <w:sz w:val="20"/>
          <w:szCs w:val="20"/>
          <w:lang w:val="en-US"/>
        </w:rPr>
        <w:t>Res.</w:t>
      </w:r>
      <w:r w:rsidR="00DD1FC7" w:rsidRPr="00CB734F">
        <w:rPr>
          <w:sz w:val="20"/>
          <w:szCs w:val="20"/>
          <w:lang w:val="en-US"/>
        </w:rPr>
        <w:t xml:space="preserve">, </w:t>
      </w:r>
      <w:r w:rsidR="00DD1FC7" w:rsidRPr="00CB734F">
        <w:rPr>
          <w:iCs/>
          <w:sz w:val="20"/>
          <w:szCs w:val="20"/>
          <w:lang w:val="en-US"/>
        </w:rPr>
        <w:t>110</w:t>
      </w:r>
      <w:r w:rsidR="00DD1FC7" w:rsidRPr="00CB734F">
        <w:rPr>
          <w:sz w:val="20"/>
          <w:szCs w:val="20"/>
          <w:lang w:val="en-US"/>
        </w:rPr>
        <w:t>(B3),</w:t>
      </w:r>
      <w:r w:rsidR="00DD1FC7" w:rsidRPr="00CB734F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DD1FC7" w:rsidRPr="00CB734F">
        <w:rPr>
          <w:sz w:val="20"/>
          <w:szCs w:val="20"/>
          <w:lang w:val="en-US"/>
        </w:rPr>
        <w:t>p. B03303.</w:t>
      </w:r>
      <w:proofErr w:type="gramEnd"/>
      <w:r w:rsidR="00DD1FC7" w:rsidRPr="00CB734F">
        <w:rPr>
          <w:sz w:val="20"/>
          <w:szCs w:val="20"/>
          <w:lang w:val="en-US"/>
        </w:rPr>
        <w:t xml:space="preserve"> </w:t>
      </w:r>
      <w:proofErr w:type="gramStart"/>
      <w:r w:rsidR="00DD1FC7" w:rsidRPr="00CB734F">
        <w:rPr>
          <w:sz w:val="20"/>
          <w:szCs w:val="20"/>
          <w:lang w:val="en-US"/>
        </w:rPr>
        <w:t>1-B03303.</w:t>
      </w:r>
      <w:proofErr w:type="gramEnd"/>
      <w:r w:rsidR="00DD1FC7" w:rsidRPr="00CB734F">
        <w:rPr>
          <w:sz w:val="20"/>
          <w:szCs w:val="20"/>
          <w:lang w:val="en-US"/>
        </w:rPr>
        <w:t xml:space="preserve"> 9.</w:t>
      </w:r>
    </w:p>
    <w:p w14:paraId="67E52CD2" w14:textId="2EACC22D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t>Plafker</w:t>
      </w:r>
      <w:proofErr w:type="spellEnd"/>
      <w:r w:rsidRPr="00CB734F">
        <w:rPr>
          <w:sz w:val="20"/>
          <w:szCs w:val="20"/>
          <w:lang w:val="en-GB"/>
        </w:rPr>
        <w:t xml:space="preserve">, G., </w:t>
      </w:r>
      <w:r w:rsidR="00640890" w:rsidRPr="00CB734F">
        <w:rPr>
          <w:sz w:val="20"/>
          <w:szCs w:val="20"/>
          <w:lang w:val="en-GB"/>
        </w:rPr>
        <w:t>and Berg, H. C., 1994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>Overview of the geology and tectonic evolution of Alaska.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>in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spellStart"/>
      <w:r w:rsidRPr="00CB734F">
        <w:rPr>
          <w:sz w:val="20"/>
          <w:szCs w:val="20"/>
          <w:lang w:val="en-GB"/>
        </w:rPr>
        <w:t>Plafker</w:t>
      </w:r>
      <w:proofErr w:type="spellEnd"/>
      <w:r w:rsidRPr="00CB734F">
        <w:rPr>
          <w:sz w:val="20"/>
          <w:szCs w:val="20"/>
          <w:lang w:val="en-GB"/>
        </w:rPr>
        <w:t xml:space="preserve">, G., </w:t>
      </w:r>
      <w:r w:rsidR="00640890" w:rsidRPr="00CB734F">
        <w:rPr>
          <w:sz w:val="20"/>
          <w:szCs w:val="20"/>
          <w:lang w:val="en-GB"/>
        </w:rPr>
        <w:t>and</w:t>
      </w:r>
      <w:r w:rsidRPr="00CB734F">
        <w:rPr>
          <w:sz w:val="20"/>
          <w:szCs w:val="20"/>
          <w:lang w:val="en-GB"/>
        </w:rPr>
        <w:t xml:space="preserve"> Berg, H. C. (Eds.). </w:t>
      </w:r>
      <w:proofErr w:type="gramStart"/>
      <w:r w:rsidRPr="00CB734F">
        <w:rPr>
          <w:sz w:val="20"/>
          <w:szCs w:val="20"/>
          <w:lang w:val="en-GB"/>
        </w:rPr>
        <w:t>The Geology of North America, vol. G-1.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>The geology of Alaska.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r w:rsidRPr="00CB734F">
        <w:rPr>
          <w:iCs/>
          <w:sz w:val="20"/>
          <w:szCs w:val="20"/>
          <w:lang w:val="en-GB"/>
        </w:rPr>
        <w:t>Geol. Soc. Am. Special Paper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442,</w:t>
      </w:r>
      <w:r w:rsidRPr="00CB734F">
        <w:rPr>
          <w:sz w:val="20"/>
          <w:szCs w:val="20"/>
          <w:lang w:val="en-GB"/>
        </w:rPr>
        <w:t xml:space="preserve"> 989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1021</w:t>
      </w:r>
    </w:p>
    <w:p w14:paraId="5DF56847" w14:textId="47479CA1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CB734F">
        <w:rPr>
          <w:sz w:val="20"/>
          <w:szCs w:val="20"/>
          <w:lang w:val="en-GB"/>
        </w:rPr>
        <w:t>Schlagenhauf</w:t>
      </w:r>
      <w:proofErr w:type="spellEnd"/>
      <w:r w:rsidRPr="00CB734F">
        <w:rPr>
          <w:sz w:val="20"/>
          <w:szCs w:val="20"/>
          <w:lang w:val="en-GB"/>
        </w:rPr>
        <w:t xml:space="preserve">, A., Manighetti, I., Benedetti, L., </w:t>
      </w:r>
      <w:proofErr w:type="spellStart"/>
      <w:r w:rsidRPr="00CB734F">
        <w:rPr>
          <w:sz w:val="20"/>
          <w:szCs w:val="20"/>
          <w:lang w:val="en-GB"/>
        </w:rPr>
        <w:t>Gaudemer</w:t>
      </w:r>
      <w:proofErr w:type="spellEnd"/>
      <w:r w:rsidRPr="00CB734F">
        <w:rPr>
          <w:sz w:val="20"/>
          <w:szCs w:val="20"/>
          <w:lang w:val="en-GB"/>
        </w:rPr>
        <w:t xml:space="preserve">, Y., </w:t>
      </w:r>
      <w:proofErr w:type="spellStart"/>
      <w:r w:rsidRPr="00CB734F">
        <w:rPr>
          <w:sz w:val="20"/>
          <w:szCs w:val="20"/>
          <w:lang w:val="en-GB"/>
        </w:rPr>
        <w:t>Finkel</w:t>
      </w:r>
      <w:proofErr w:type="spellEnd"/>
      <w:r w:rsidRPr="00CB734F">
        <w:rPr>
          <w:sz w:val="20"/>
          <w:szCs w:val="20"/>
          <w:lang w:val="en-GB"/>
        </w:rPr>
        <w:t>, R.</w:t>
      </w:r>
      <w:r w:rsidR="00640890" w:rsidRPr="00CB734F">
        <w:rPr>
          <w:sz w:val="20"/>
          <w:szCs w:val="20"/>
          <w:lang w:val="en-GB"/>
        </w:rPr>
        <w:t xml:space="preserve">, </w:t>
      </w:r>
      <w:proofErr w:type="spellStart"/>
      <w:r w:rsidR="00640890" w:rsidRPr="00CB734F">
        <w:rPr>
          <w:sz w:val="20"/>
          <w:szCs w:val="20"/>
          <w:lang w:val="en-GB"/>
        </w:rPr>
        <w:t>Malavieille</w:t>
      </w:r>
      <w:proofErr w:type="spellEnd"/>
      <w:r w:rsidR="00640890" w:rsidRPr="00CB734F">
        <w:rPr>
          <w:sz w:val="20"/>
          <w:szCs w:val="20"/>
          <w:lang w:val="en-GB"/>
        </w:rPr>
        <w:t xml:space="preserve">, J., and </w:t>
      </w:r>
      <w:proofErr w:type="spellStart"/>
      <w:r w:rsidR="00640890" w:rsidRPr="00CB734F">
        <w:rPr>
          <w:sz w:val="20"/>
          <w:szCs w:val="20"/>
          <w:lang w:val="en-GB"/>
        </w:rPr>
        <w:t>Pou</w:t>
      </w:r>
      <w:proofErr w:type="spellEnd"/>
      <w:r w:rsidR="00640890" w:rsidRPr="00CB734F">
        <w:rPr>
          <w:sz w:val="20"/>
          <w:szCs w:val="20"/>
          <w:lang w:val="en-GB"/>
        </w:rPr>
        <w:t>, K., 2011</w:t>
      </w:r>
      <w:r w:rsidRPr="00CB734F">
        <w:rPr>
          <w:sz w:val="20"/>
          <w:szCs w:val="20"/>
          <w:lang w:val="en-GB"/>
        </w:rPr>
        <w:t xml:space="preserve">. Earthquake </w:t>
      </w:r>
      <w:proofErr w:type="spellStart"/>
      <w:r w:rsidRPr="00CB734F">
        <w:rPr>
          <w:sz w:val="20"/>
          <w:szCs w:val="20"/>
          <w:lang w:val="en-GB"/>
        </w:rPr>
        <w:t>supercycles</w:t>
      </w:r>
      <w:proofErr w:type="spellEnd"/>
      <w:r w:rsidRPr="00CB734F">
        <w:rPr>
          <w:sz w:val="20"/>
          <w:szCs w:val="20"/>
          <w:lang w:val="en-GB"/>
        </w:rPr>
        <w:t xml:space="preserve"> in Central Italy, inferred from 36Cl exposure dating. </w:t>
      </w:r>
      <w:proofErr w:type="gramStart"/>
      <w:r w:rsidRPr="00CB734F">
        <w:rPr>
          <w:iCs/>
          <w:sz w:val="20"/>
          <w:szCs w:val="20"/>
          <w:lang w:val="en-GB"/>
        </w:rPr>
        <w:t>Earth Planet.</w:t>
      </w:r>
      <w:proofErr w:type="gramEnd"/>
      <w:r w:rsidRPr="00CB734F">
        <w:rPr>
          <w:iCs/>
          <w:sz w:val="20"/>
          <w:szCs w:val="20"/>
          <w:lang w:val="en-GB"/>
        </w:rPr>
        <w:t xml:space="preserve"> Sci. Lett.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307</w:t>
      </w:r>
      <w:r w:rsidRPr="00CB734F">
        <w:rPr>
          <w:sz w:val="20"/>
          <w:szCs w:val="20"/>
          <w:lang w:val="en-GB"/>
        </w:rPr>
        <w:t>(3), 487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500.</w:t>
      </w:r>
    </w:p>
    <w:p w14:paraId="2AAE6388" w14:textId="2D577E35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lastRenderedPageBreak/>
        <w:t>Sengör</w:t>
      </w:r>
      <w:proofErr w:type="spellEnd"/>
      <w:r w:rsidRPr="00CB734F">
        <w:rPr>
          <w:sz w:val="20"/>
          <w:szCs w:val="20"/>
          <w:lang w:val="en-GB"/>
        </w:rPr>
        <w:t xml:space="preserve">, A. M. C., </w:t>
      </w:r>
      <w:proofErr w:type="spellStart"/>
      <w:r w:rsidRPr="00CB734F">
        <w:rPr>
          <w:sz w:val="20"/>
          <w:szCs w:val="20"/>
          <w:lang w:val="en-GB"/>
        </w:rPr>
        <w:t>Tüysüz</w:t>
      </w:r>
      <w:proofErr w:type="spellEnd"/>
      <w:r w:rsidRPr="00CB734F">
        <w:rPr>
          <w:sz w:val="20"/>
          <w:szCs w:val="20"/>
          <w:lang w:val="en-GB"/>
        </w:rPr>
        <w:t xml:space="preserve">, O., </w:t>
      </w:r>
      <w:proofErr w:type="spellStart"/>
      <w:r w:rsidRPr="00CB734F">
        <w:rPr>
          <w:sz w:val="20"/>
          <w:szCs w:val="20"/>
          <w:lang w:val="en-GB"/>
        </w:rPr>
        <w:t>Imren</w:t>
      </w:r>
      <w:proofErr w:type="spellEnd"/>
      <w:r w:rsidRPr="00CB734F">
        <w:rPr>
          <w:sz w:val="20"/>
          <w:szCs w:val="20"/>
          <w:lang w:val="en-GB"/>
        </w:rPr>
        <w:t xml:space="preserve">, C., </w:t>
      </w:r>
      <w:proofErr w:type="spellStart"/>
      <w:r w:rsidRPr="00CB734F">
        <w:rPr>
          <w:sz w:val="20"/>
          <w:szCs w:val="20"/>
          <w:lang w:val="en-GB"/>
        </w:rPr>
        <w:t>Sakinç</w:t>
      </w:r>
      <w:proofErr w:type="spellEnd"/>
      <w:r w:rsidRPr="00CB734F">
        <w:rPr>
          <w:sz w:val="20"/>
          <w:szCs w:val="20"/>
          <w:lang w:val="en-GB"/>
        </w:rPr>
        <w:t xml:space="preserve">, M., </w:t>
      </w:r>
      <w:proofErr w:type="spellStart"/>
      <w:r w:rsidRPr="00CB734F">
        <w:rPr>
          <w:sz w:val="20"/>
          <w:szCs w:val="20"/>
          <w:lang w:val="en-GB"/>
        </w:rPr>
        <w:t>Eyidogan</w:t>
      </w:r>
      <w:proofErr w:type="spellEnd"/>
      <w:r w:rsidRPr="00CB734F">
        <w:rPr>
          <w:sz w:val="20"/>
          <w:szCs w:val="20"/>
          <w:lang w:val="en-GB"/>
        </w:rPr>
        <w:t xml:space="preserve">, H., </w:t>
      </w:r>
      <w:proofErr w:type="spellStart"/>
      <w:r w:rsidRPr="00CB734F">
        <w:rPr>
          <w:sz w:val="20"/>
          <w:szCs w:val="20"/>
          <w:lang w:val="en-GB"/>
        </w:rPr>
        <w:t>Görür</w:t>
      </w:r>
      <w:proofErr w:type="spellEnd"/>
      <w:r w:rsidRPr="00CB734F">
        <w:rPr>
          <w:sz w:val="20"/>
          <w:szCs w:val="20"/>
          <w:lang w:val="en-GB"/>
        </w:rPr>
        <w:t xml:space="preserve">, N., </w:t>
      </w:r>
      <w:proofErr w:type="spellStart"/>
      <w:r w:rsidRPr="00CB734F">
        <w:rPr>
          <w:sz w:val="20"/>
          <w:szCs w:val="20"/>
          <w:lang w:val="en-GB"/>
        </w:rPr>
        <w:t>LePichon</w:t>
      </w:r>
      <w:proofErr w:type="spellEnd"/>
      <w:r w:rsidRPr="00CB734F">
        <w:rPr>
          <w:sz w:val="20"/>
          <w:szCs w:val="20"/>
          <w:lang w:val="en-GB"/>
        </w:rPr>
        <w:t xml:space="preserve">, X. </w:t>
      </w:r>
      <w:r w:rsidR="00640890" w:rsidRPr="00CB734F">
        <w:rPr>
          <w:sz w:val="20"/>
          <w:szCs w:val="20"/>
          <w:lang w:val="en-GB"/>
        </w:rPr>
        <w:t>and</w:t>
      </w:r>
      <w:r w:rsidRPr="00CB734F">
        <w:rPr>
          <w:sz w:val="20"/>
          <w:szCs w:val="20"/>
          <w:lang w:val="en-GB"/>
        </w:rPr>
        <w:t xml:space="preserve"> </w:t>
      </w:r>
      <w:proofErr w:type="spellStart"/>
      <w:r w:rsidRPr="00CB734F">
        <w:rPr>
          <w:sz w:val="20"/>
          <w:szCs w:val="20"/>
          <w:lang w:val="en-GB"/>
        </w:rPr>
        <w:t>Rangin</w:t>
      </w:r>
      <w:proofErr w:type="spellEnd"/>
      <w:r w:rsidRPr="00CB734F">
        <w:rPr>
          <w:sz w:val="20"/>
          <w:szCs w:val="20"/>
          <w:lang w:val="en-GB"/>
        </w:rPr>
        <w:t>, C.</w:t>
      </w:r>
      <w:r w:rsidR="00640890" w:rsidRPr="00CB734F">
        <w:rPr>
          <w:sz w:val="20"/>
          <w:szCs w:val="20"/>
          <w:lang w:val="en-GB"/>
        </w:rPr>
        <w:t>,</w:t>
      </w:r>
      <w:r w:rsidRPr="00CB734F">
        <w:rPr>
          <w:sz w:val="20"/>
          <w:szCs w:val="20"/>
          <w:lang w:val="en-GB"/>
        </w:rPr>
        <w:t xml:space="preserve"> </w:t>
      </w:r>
      <w:r w:rsidR="00640890" w:rsidRPr="00CB734F">
        <w:rPr>
          <w:sz w:val="20"/>
          <w:szCs w:val="20"/>
          <w:lang w:val="en-GB"/>
        </w:rPr>
        <w:t>2005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The North Anatolian fault: A new look. </w:t>
      </w:r>
      <w:proofErr w:type="spellStart"/>
      <w:proofErr w:type="gramStart"/>
      <w:r w:rsidRPr="00CB734F">
        <w:rPr>
          <w:iCs/>
          <w:sz w:val="20"/>
          <w:szCs w:val="20"/>
          <w:lang w:val="en-GB"/>
        </w:rPr>
        <w:t>Annu</w:t>
      </w:r>
      <w:proofErr w:type="spellEnd"/>
      <w:r w:rsidRPr="00CB734F">
        <w:rPr>
          <w:iCs/>
          <w:sz w:val="20"/>
          <w:szCs w:val="20"/>
          <w:lang w:val="en-GB"/>
        </w:rPr>
        <w:t>.</w:t>
      </w:r>
      <w:proofErr w:type="gramEnd"/>
      <w:r w:rsidRPr="00CB734F">
        <w:rPr>
          <w:iCs/>
          <w:sz w:val="20"/>
          <w:szCs w:val="20"/>
          <w:lang w:val="en-GB"/>
        </w:rPr>
        <w:t xml:space="preserve"> Rev. Earth Planet. Sci.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33</w:t>
      </w:r>
      <w:r w:rsidRPr="00CB734F">
        <w:rPr>
          <w:sz w:val="20"/>
          <w:szCs w:val="20"/>
          <w:lang w:val="en-GB"/>
        </w:rPr>
        <w:t>, 37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112.</w:t>
      </w:r>
    </w:p>
    <w:p w14:paraId="727228AA" w14:textId="3220D51F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r w:rsidRPr="00CB734F">
        <w:rPr>
          <w:sz w:val="20"/>
          <w:szCs w:val="20"/>
          <w:lang w:val="en-GB"/>
        </w:rPr>
        <w:t xml:space="preserve">Shen, Z. K., Sun, J., Zhang, P., Wan, Y., Wang, M., </w:t>
      </w:r>
      <w:proofErr w:type="spellStart"/>
      <w:r w:rsidRPr="00CB734F">
        <w:rPr>
          <w:sz w:val="20"/>
          <w:szCs w:val="20"/>
          <w:lang w:val="en-GB"/>
        </w:rPr>
        <w:t>Bürgmann</w:t>
      </w:r>
      <w:proofErr w:type="spellEnd"/>
      <w:r w:rsidRPr="00CB734F">
        <w:rPr>
          <w:sz w:val="20"/>
          <w:szCs w:val="20"/>
          <w:lang w:val="en-GB"/>
        </w:rPr>
        <w:t xml:space="preserve">, R., Zeng, Y., </w:t>
      </w:r>
      <w:proofErr w:type="spellStart"/>
      <w:r w:rsidRPr="00CB734F">
        <w:rPr>
          <w:sz w:val="20"/>
          <w:szCs w:val="20"/>
          <w:lang w:val="en-GB"/>
        </w:rPr>
        <w:t>Gan</w:t>
      </w:r>
      <w:proofErr w:type="spellEnd"/>
      <w:r w:rsidRPr="00CB734F">
        <w:rPr>
          <w:sz w:val="20"/>
          <w:szCs w:val="20"/>
          <w:lang w:val="en-GB"/>
        </w:rPr>
        <w:t xml:space="preserve">, W., Liao, H. </w:t>
      </w:r>
      <w:r w:rsidR="00640890" w:rsidRPr="00CB734F">
        <w:rPr>
          <w:sz w:val="20"/>
          <w:szCs w:val="20"/>
          <w:lang w:val="en-GB"/>
        </w:rPr>
        <w:t>and Wang, Q., 2009</w:t>
      </w:r>
      <w:r w:rsidRPr="00CB734F">
        <w:rPr>
          <w:sz w:val="20"/>
          <w:szCs w:val="20"/>
          <w:lang w:val="en-GB"/>
        </w:rPr>
        <w:t xml:space="preserve">. Slip maxima at fault junctions and rupturing of barriers during the 2008 </w:t>
      </w:r>
      <w:proofErr w:type="spellStart"/>
      <w:r w:rsidRPr="00CB734F">
        <w:rPr>
          <w:sz w:val="20"/>
          <w:szCs w:val="20"/>
          <w:lang w:val="en-GB"/>
        </w:rPr>
        <w:t>Wenchuan</w:t>
      </w:r>
      <w:proofErr w:type="spellEnd"/>
      <w:r w:rsidRPr="00CB734F">
        <w:rPr>
          <w:sz w:val="20"/>
          <w:szCs w:val="20"/>
          <w:lang w:val="en-GB"/>
        </w:rPr>
        <w:t xml:space="preserve"> earthquake. </w:t>
      </w:r>
      <w:r w:rsidR="00CB734F">
        <w:rPr>
          <w:iCs/>
          <w:sz w:val="20"/>
          <w:szCs w:val="20"/>
          <w:lang w:val="en-GB"/>
        </w:rPr>
        <w:t xml:space="preserve">Nat. </w:t>
      </w:r>
      <w:proofErr w:type="spellStart"/>
      <w:r w:rsidR="00CB734F">
        <w:rPr>
          <w:iCs/>
          <w:sz w:val="20"/>
          <w:szCs w:val="20"/>
          <w:lang w:val="en-GB"/>
        </w:rPr>
        <w:t>Geosci</w:t>
      </w:r>
      <w:proofErr w:type="spellEnd"/>
      <w:r w:rsidR="00CB734F">
        <w:rPr>
          <w:iCs/>
          <w:sz w:val="20"/>
          <w:szCs w:val="20"/>
          <w:lang w:val="en-GB"/>
        </w:rPr>
        <w:t>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2</w:t>
      </w:r>
      <w:r w:rsidRPr="00CB734F">
        <w:rPr>
          <w:sz w:val="20"/>
          <w:szCs w:val="20"/>
          <w:lang w:val="en-GB"/>
        </w:rPr>
        <w:t>(10), 718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724.</w:t>
      </w:r>
    </w:p>
    <w:p w14:paraId="29568B99" w14:textId="477F6C92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CB734F">
        <w:rPr>
          <w:sz w:val="20"/>
          <w:szCs w:val="20"/>
          <w:lang w:val="en-GB"/>
        </w:rPr>
        <w:t>Tapponnier</w:t>
      </w:r>
      <w:proofErr w:type="spellEnd"/>
      <w:r w:rsidRPr="00CB734F">
        <w:rPr>
          <w:sz w:val="20"/>
          <w:szCs w:val="20"/>
          <w:lang w:val="en-GB"/>
        </w:rPr>
        <w:t xml:space="preserve">, P., </w:t>
      </w:r>
      <w:r w:rsidR="00640890" w:rsidRPr="00CB734F">
        <w:rPr>
          <w:sz w:val="20"/>
          <w:szCs w:val="20"/>
          <w:lang w:val="en-GB"/>
        </w:rPr>
        <w:t>and Molnar, P., 1979</w:t>
      </w:r>
      <w:r w:rsidRPr="00CB734F">
        <w:rPr>
          <w:sz w:val="20"/>
          <w:szCs w:val="20"/>
          <w:lang w:val="en-GB"/>
        </w:rPr>
        <w:t xml:space="preserve">. </w:t>
      </w:r>
      <w:proofErr w:type="gramStart"/>
      <w:r w:rsidRPr="00CB734F">
        <w:rPr>
          <w:sz w:val="20"/>
          <w:szCs w:val="20"/>
          <w:lang w:val="en-GB"/>
        </w:rPr>
        <w:t xml:space="preserve">Active faulting and </w:t>
      </w:r>
      <w:proofErr w:type="spellStart"/>
      <w:r w:rsidRPr="00CB734F">
        <w:rPr>
          <w:sz w:val="20"/>
          <w:szCs w:val="20"/>
          <w:lang w:val="en-GB"/>
        </w:rPr>
        <w:t>Cenozoic</w:t>
      </w:r>
      <w:proofErr w:type="spellEnd"/>
      <w:r w:rsidRPr="00CB734F">
        <w:rPr>
          <w:sz w:val="20"/>
          <w:szCs w:val="20"/>
          <w:lang w:val="en-GB"/>
        </w:rPr>
        <w:t xml:space="preserve"> tectonics of the Tien Shan, Mongolia, and Baykal regions.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r w:rsidRPr="00CB734F">
        <w:rPr>
          <w:iCs/>
          <w:sz w:val="20"/>
          <w:szCs w:val="20"/>
          <w:lang w:val="en-GB"/>
        </w:rPr>
        <w:t xml:space="preserve">J. </w:t>
      </w:r>
      <w:proofErr w:type="spellStart"/>
      <w:r w:rsidRPr="00CB734F">
        <w:rPr>
          <w:iCs/>
          <w:sz w:val="20"/>
          <w:szCs w:val="20"/>
          <w:lang w:val="en-GB"/>
        </w:rPr>
        <w:t>Geoph</w:t>
      </w:r>
      <w:proofErr w:type="spellEnd"/>
      <w:r w:rsidRPr="00CB734F">
        <w:rPr>
          <w:iCs/>
          <w:sz w:val="20"/>
          <w:szCs w:val="20"/>
          <w:lang w:val="en-GB"/>
        </w:rPr>
        <w:t xml:space="preserve">. </w:t>
      </w:r>
      <w:proofErr w:type="gramStart"/>
      <w:r w:rsidRPr="00CB734F">
        <w:rPr>
          <w:iCs/>
          <w:sz w:val="20"/>
          <w:szCs w:val="20"/>
          <w:lang w:val="en-GB"/>
        </w:rPr>
        <w:t>Res.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84</w:t>
      </w:r>
      <w:r w:rsidRPr="00CB734F">
        <w:rPr>
          <w:sz w:val="20"/>
          <w:szCs w:val="20"/>
          <w:lang w:val="en-GB"/>
        </w:rPr>
        <w:t>(B7), 3425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3459.</w:t>
      </w:r>
      <w:proofErr w:type="gramEnd"/>
    </w:p>
    <w:p w14:paraId="78363C74" w14:textId="6915DD10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CB734F">
        <w:rPr>
          <w:sz w:val="20"/>
          <w:szCs w:val="20"/>
          <w:lang w:val="en-GB"/>
        </w:rPr>
        <w:t>Tapponnier</w:t>
      </w:r>
      <w:proofErr w:type="spellEnd"/>
      <w:r w:rsidRPr="00CB734F">
        <w:rPr>
          <w:sz w:val="20"/>
          <w:szCs w:val="20"/>
          <w:lang w:val="en-GB"/>
        </w:rPr>
        <w:t xml:space="preserve">, P., </w:t>
      </w:r>
      <w:proofErr w:type="spellStart"/>
      <w:r w:rsidRPr="00CB734F">
        <w:rPr>
          <w:sz w:val="20"/>
          <w:szCs w:val="20"/>
          <w:lang w:val="en-GB"/>
        </w:rPr>
        <w:t>Zhiqin</w:t>
      </w:r>
      <w:proofErr w:type="spellEnd"/>
      <w:r w:rsidRPr="00CB734F">
        <w:rPr>
          <w:sz w:val="20"/>
          <w:szCs w:val="20"/>
          <w:lang w:val="en-GB"/>
        </w:rPr>
        <w:t xml:space="preserve">, X., Roger, F., Meyer, B., Arnaud, N., </w:t>
      </w:r>
      <w:proofErr w:type="spellStart"/>
      <w:r w:rsidRPr="00CB734F">
        <w:rPr>
          <w:sz w:val="20"/>
          <w:szCs w:val="20"/>
          <w:lang w:val="en-GB"/>
        </w:rPr>
        <w:t>Wittlinger</w:t>
      </w:r>
      <w:proofErr w:type="spellEnd"/>
      <w:r w:rsidRPr="00CB734F">
        <w:rPr>
          <w:sz w:val="20"/>
          <w:szCs w:val="20"/>
          <w:lang w:val="en-GB"/>
        </w:rPr>
        <w:t>, G</w:t>
      </w:r>
      <w:bookmarkStart w:id="0" w:name="_GoBack"/>
      <w:bookmarkEnd w:id="0"/>
      <w:r w:rsidRPr="00CB734F">
        <w:rPr>
          <w:sz w:val="20"/>
          <w:szCs w:val="20"/>
          <w:lang w:val="en-GB"/>
        </w:rPr>
        <w:t xml:space="preserve">., </w:t>
      </w:r>
      <w:r w:rsidR="00640890" w:rsidRPr="00CB734F">
        <w:rPr>
          <w:sz w:val="20"/>
          <w:szCs w:val="20"/>
          <w:lang w:val="en-GB"/>
        </w:rPr>
        <w:t xml:space="preserve">and </w:t>
      </w:r>
      <w:proofErr w:type="spellStart"/>
      <w:r w:rsidR="00640890" w:rsidRPr="00CB734F">
        <w:rPr>
          <w:sz w:val="20"/>
          <w:szCs w:val="20"/>
          <w:lang w:val="en-GB"/>
        </w:rPr>
        <w:t>Jingsui</w:t>
      </w:r>
      <w:proofErr w:type="spellEnd"/>
      <w:r w:rsidR="00640890" w:rsidRPr="00CB734F">
        <w:rPr>
          <w:sz w:val="20"/>
          <w:szCs w:val="20"/>
          <w:lang w:val="en-GB"/>
        </w:rPr>
        <w:t>, Y., 2001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>Oblique stepwise rise and growth of the Tibet Plateau.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r w:rsidRPr="00CB734F">
        <w:rPr>
          <w:iCs/>
          <w:sz w:val="20"/>
          <w:szCs w:val="20"/>
          <w:lang w:val="en-GB"/>
        </w:rPr>
        <w:t>Science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294</w:t>
      </w:r>
      <w:r w:rsidRPr="00CB734F">
        <w:rPr>
          <w:sz w:val="20"/>
          <w:szCs w:val="20"/>
          <w:lang w:val="en-GB"/>
        </w:rPr>
        <w:t>(5547), 1671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1677.</w:t>
      </w:r>
    </w:p>
    <w:p w14:paraId="53BA201B" w14:textId="3EA1E637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r w:rsidRPr="00CB734F">
        <w:rPr>
          <w:sz w:val="20"/>
          <w:szCs w:val="20"/>
          <w:lang w:val="en-GB"/>
        </w:rPr>
        <w:t xml:space="preserve">Van Der </w:t>
      </w:r>
      <w:proofErr w:type="spellStart"/>
      <w:r w:rsidRPr="00CB734F">
        <w:rPr>
          <w:sz w:val="20"/>
          <w:szCs w:val="20"/>
          <w:lang w:val="en-GB"/>
        </w:rPr>
        <w:t>Woerd</w:t>
      </w:r>
      <w:proofErr w:type="spellEnd"/>
      <w:r w:rsidRPr="00CB734F">
        <w:rPr>
          <w:sz w:val="20"/>
          <w:szCs w:val="20"/>
          <w:lang w:val="en-GB"/>
        </w:rPr>
        <w:t xml:space="preserve">, J., </w:t>
      </w:r>
      <w:proofErr w:type="spellStart"/>
      <w:r w:rsidRPr="00CB734F">
        <w:rPr>
          <w:sz w:val="20"/>
          <w:szCs w:val="20"/>
          <w:lang w:val="en-GB"/>
        </w:rPr>
        <w:t>Tapponnier</w:t>
      </w:r>
      <w:proofErr w:type="spellEnd"/>
      <w:r w:rsidRPr="00CB734F">
        <w:rPr>
          <w:sz w:val="20"/>
          <w:szCs w:val="20"/>
          <w:lang w:val="en-GB"/>
        </w:rPr>
        <w:t xml:space="preserve">, P., Ryerson, F. J., </w:t>
      </w:r>
      <w:proofErr w:type="spellStart"/>
      <w:r w:rsidRPr="00CB734F">
        <w:rPr>
          <w:sz w:val="20"/>
          <w:szCs w:val="20"/>
          <w:lang w:val="en-GB"/>
        </w:rPr>
        <w:t>Meriaux</w:t>
      </w:r>
      <w:proofErr w:type="spellEnd"/>
      <w:r w:rsidRPr="00CB734F">
        <w:rPr>
          <w:sz w:val="20"/>
          <w:szCs w:val="20"/>
          <w:lang w:val="en-GB"/>
        </w:rPr>
        <w:t xml:space="preserve">, A. S., Meyer, B., </w:t>
      </w:r>
      <w:proofErr w:type="spellStart"/>
      <w:r w:rsidRPr="00CB734F">
        <w:rPr>
          <w:sz w:val="20"/>
          <w:szCs w:val="20"/>
          <w:lang w:val="en-GB"/>
        </w:rPr>
        <w:t>Gaudemer</w:t>
      </w:r>
      <w:proofErr w:type="spellEnd"/>
      <w:r w:rsidRPr="00CB734F">
        <w:rPr>
          <w:sz w:val="20"/>
          <w:szCs w:val="20"/>
          <w:lang w:val="en-GB"/>
        </w:rPr>
        <w:t xml:space="preserve">, Y., Meyer, B., </w:t>
      </w:r>
      <w:proofErr w:type="spellStart"/>
      <w:r w:rsidRPr="00CB734F">
        <w:rPr>
          <w:sz w:val="20"/>
          <w:szCs w:val="20"/>
          <w:lang w:val="en-GB"/>
        </w:rPr>
        <w:t>Finkel</w:t>
      </w:r>
      <w:proofErr w:type="spellEnd"/>
      <w:r w:rsidRPr="00CB734F">
        <w:rPr>
          <w:sz w:val="20"/>
          <w:szCs w:val="20"/>
          <w:lang w:val="en-GB"/>
        </w:rPr>
        <w:t xml:space="preserve">, R.C., </w:t>
      </w:r>
      <w:proofErr w:type="spellStart"/>
      <w:r w:rsidRPr="00CB734F">
        <w:rPr>
          <w:sz w:val="20"/>
          <w:szCs w:val="20"/>
          <w:lang w:val="en-GB"/>
        </w:rPr>
        <w:t>Caffee</w:t>
      </w:r>
      <w:proofErr w:type="spellEnd"/>
      <w:r w:rsidRPr="00CB734F">
        <w:rPr>
          <w:sz w:val="20"/>
          <w:szCs w:val="20"/>
          <w:lang w:val="en-GB"/>
        </w:rPr>
        <w:t>, M.W</w:t>
      </w:r>
      <w:r w:rsidR="00640890" w:rsidRPr="00CB734F">
        <w:rPr>
          <w:sz w:val="20"/>
          <w:szCs w:val="20"/>
          <w:lang w:val="en-GB"/>
        </w:rPr>
        <w:t xml:space="preserve">., </w:t>
      </w:r>
      <w:proofErr w:type="spellStart"/>
      <w:r w:rsidR="00640890" w:rsidRPr="00CB734F">
        <w:rPr>
          <w:sz w:val="20"/>
          <w:szCs w:val="20"/>
          <w:lang w:val="en-GB"/>
        </w:rPr>
        <w:t>Guoguang</w:t>
      </w:r>
      <w:proofErr w:type="spellEnd"/>
      <w:r w:rsidR="00640890" w:rsidRPr="00CB734F">
        <w:rPr>
          <w:sz w:val="20"/>
          <w:szCs w:val="20"/>
          <w:lang w:val="en-GB"/>
        </w:rPr>
        <w:t xml:space="preserve">, Z. and </w:t>
      </w:r>
      <w:proofErr w:type="spellStart"/>
      <w:r w:rsidR="00640890" w:rsidRPr="00CB734F">
        <w:rPr>
          <w:sz w:val="20"/>
          <w:szCs w:val="20"/>
          <w:lang w:val="en-GB"/>
        </w:rPr>
        <w:t>Zhiqin</w:t>
      </w:r>
      <w:proofErr w:type="spellEnd"/>
      <w:r w:rsidR="00640890" w:rsidRPr="00CB734F">
        <w:rPr>
          <w:sz w:val="20"/>
          <w:szCs w:val="20"/>
          <w:lang w:val="en-GB"/>
        </w:rPr>
        <w:t>, X., 2002</w:t>
      </w:r>
      <w:r w:rsidRPr="00CB734F">
        <w:rPr>
          <w:sz w:val="20"/>
          <w:szCs w:val="20"/>
          <w:lang w:val="en-GB"/>
        </w:rPr>
        <w:t xml:space="preserve">. </w:t>
      </w:r>
      <w:proofErr w:type="gramStart"/>
      <w:r w:rsidRPr="00CB734F">
        <w:rPr>
          <w:sz w:val="20"/>
          <w:szCs w:val="20"/>
          <w:lang w:val="en-GB"/>
        </w:rPr>
        <w:t>Uniform postglacial slip-rate along the central 600 km of the Kunlun Fault (Tibet), from 26Al, 10Be, and 14C dating of riser offsets, and climatic origin of the regional morphology.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CB734F">
        <w:rPr>
          <w:iCs/>
          <w:sz w:val="20"/>
          <w:szCs w:val="20"/>
          <w:lang w:val="en-GB"/>
        </w:rPr>
        <w:t>Geoph</w:t>
      </w:r>
      <w:proofErr w:type="spellEnd"/>
      <w:r w:rsidRPr="00CB734F">
        <w:rPr>
          <w:iCs/>
          <w:sz w:val="20"/>
          <w:szCs w:val="20"/>
          <w:lang w:val="en-GB"/>
        </w:rPr>
        <w:t>.</w:t>
      </w:r>
      <w:proofErr w:type="gramEnd"/>
      <w:r w:rsidRPr="00CB734F">
        <w:rPr>
          <w:iCs/>
          <w:sz w:val="20"/>
          <w:szCs w:val="20"/>
          <w:lang w:val="en-GB"/>
        </w:rPr>
        <w:t xml:space="preserve"> J. Int.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148</w:t>
      </w:r>
      <w:r w:rsidRPr="00CB734F">
        <w:rPr>
          <w:sz w:val="20"/>
          <w:szCs w:val="20"/>
          <w:lang w:val="en-GB"/>
        </w:rPr>
        <w:t>(3), 356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388.</w:t>
      </w:r>
    </w:p>
    <w:p w14:paraId="266E904A" w14:textId="08619E37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US"/>
        </w:rPr>
      </w:pPr>
      <w:r w:rsidRPr="00CB734F">
        <w:rPr>
          <w:sz w:val="20"/>
          <w:szCs w:val="20"/>
          <w:lang w:val="en-US"/>
        </w:rPr>
        <w:t>V</w:t>
      </w:r>
      <w:r w:rsidR="00640890" w:rsidRPr="00CB734F">
        <w:rPr>
          <w:sz w:val="20"/>
          <w:szCs w:val="20"/>
          <w:lang w:val="en-US"/>
        </w:rPr>
        <w:t>ermilye, J.M., and C.H. Scholz, 1998</w:t>
      </w:r>
      <w:r w:rsidRPr="00CB734F">
        <w:rPr>
          <w:sz w:val="20"/>
          <w:szCs w:val="20"/>
          <w:lang w:val="en-US"/>
        </w:rPr>
        <w:t xml:space="preserve">, </w:t>
      </w:r>
      <w:proofErr w:type="gramStart"/>
      <w:r w:rsidRPr="00CB734F">
        <w:rPr>
          <w:sz w:val="20"/>
          <w:szCs w:val="20"/>
          <w:lang w:val="en-US"/>
        </w:rPr>
        <w:t>The</w:t>
      </w:r>
      <w:proofErr w:type="gramEnd"/>
      <w:r w:rsidRPr="00CB734F">
        <w:rPr>
          <w:sz w:val="20"/>
          <w:szCs w:val="20"/>
          <w:lang w:val="en-US"/>
        </w:rPr>
        <w:t xml:space="preserve"> process zone: A microstructural view of fault growth, J. Geophys. Res., 103(B6), 12,223–12,237.</w:t>
      </w:r>
    </w:p>
    <w:p w14:paraId="3B2FC6AF" w14:textId="401DE6B6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 xml:space="preserve">Wang, S., Fan, C., Wang, G., </w:t>
      </w:r>
      <w:r w:rsidR="00640890" w:rsidRPr="00CB734F">
        <w:rPr>
          <w:sz w:val="20"/>
          <w:szCs w:val="20"/>
          <w:lang w:val="en-GB"/>
        </w:rPr>
        <w:t>and Wang, E., 2008</w:t>
      </w:r>
      <w:r w:rsidRPr="00CB734F">
        <w:rPr>
          <w:sz w:val="20"/>
          <w:szCs w:val="20"/>
          <w:lang w:val="en-GB"/>
        </w:rPr>
        <w:t>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gramStart"/>
      <w:r w:rsidRPr="00CB734F">
        <w:rPr>
          <w:sz w:val="20"/>
          <w:szCs w:val="20"/>
          <w:lang w:val="en-GB"/>
        </w:rPr>
        <w:t xml:space="preserve">Late </w:t>
      </w:r>
      <w:proofErr w:type="spellStart"/>
      <w:r w:rsidRPr="00CB734F">
        <w:rPr>
          <w:sz w:val="20"/>
          <w:szCs w:val="20"/>
          <w:lang w:val="en-GB"/>
        </w:rPr>
        <w:t>Cenozoic</w:t>
      </w:r>
      <w:proofErr w:type="spellEnd"/>
      <w:r w:rsidRPr="00CB734F">
        <w:rPr>
          <w:sz w:val="20"/>
          <w:szCs w:val="20"/>
          <w:lang w:val="en-GB"/>
        </w:rPr>
        <w:t xml:space="preserve"> deformation along the northwestern continuation of the </w:t>
      </w:r>
      <w:proofErr w:type="spellStart"/>
      <w:r w:rsidRPr="00CB734F">
        <w:rPr>
          <w:sz w:val="20"/>
          <w:szCs w:val="20"/>
          <w:lang w:val="en-GB"/>
        </w:rPr>
        <w:t>Xianshuihe</w:t>
      </w:r>
      <w:proofErr w:type="spellEnd"/>
      <w:r w:rsidRPr="00CB734F">
        <w:rPr>
          <w:sz w:val="20"/>
          <w:szCs w:val="20"/>
          <w:lang w:val="en-GB"/>
        </w:rPr>
        <w:t xml:space="preserve"> fault system, Eastern Tibetan Plateau.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r w:rsidRPr="00CB734F">
        <w:rPr>
          <w:iCs/>
          <w:sz w:val="20"/>
          <w:szCs w:val="20"/>
          <w:lang w:val="en-GB"/>
        </w:rPr>
        <w:t>Geol. Soc. Am. Bull.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120</w:t>
      </w:r>
      <w:r w:rsidRPr="00CB734F">
        <w:rPr>
          <w:sz w:val="20"/>
          <w:szCs w:val="20"/>
          <w:lang w:val="en-GB"/>
        </w:rPr>
        <w:t>(3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4), 312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327.</w:t>
      </w:r>
    </w:p>
    <w:p w14:paraId="3D4F8B7D" w14:textId="71EB5E92" w:rsidR="00DD1FC7" w:rsidRPr="00CB734F" w:rsidRDefault="00640890" w:rsidP="00DD1FC7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CB734F">
        <w:rPr>
          <w:sz w:val="20"/>
          <w:szCs w:val="20"/>
          <w:lang w:val="en-GB"/>
        </w:rPr>
        <w:t>Wu, D., and Bruhn, R. L., 1994</w:t>
      </w:r>
      <w:r w:rsidR="00DD1FC7" w:rsidRPr="00CB734F">
        <w:rPr>
          <w:sz w:val="20"/>
          <w:szCs w:val="20"/>
          <w:lang w:val="en-GB"/>
        </w:rPr>
        <w:t>.</w:t>
      </w:r>
      <w:proofErr w:type="gramEnd"/>
      <w:r w:rsidR="00DD1FC7" w:rsidRPr="00CB734F">
        <w:rPr>
          <w:sz w:val="20"/>
          <w:szCs w:val="20"/>
          <w:lang w:val="en-GB"/>
        </w:rPr>
        <w:t xml:space="preserve"> Geometry and kinematics of active normal faults, South </w:t>
      </w:r>
      <w:proofErr w:type="spellStart"/>
      <w:r w:rsidR="00DD1FC7" w:rsidRPr="00CB734F">
        <w:rPr>
          <w:sz w:val="20"/>
          <w:szCs w:val="20"/>
          <w:lang w:val="en-GB"/>
        </w:rPr>
        <w:t>Oquirrh</w:t>
      </w:r>
      <w:proofErr w:type="spellEnd"/>
      <w:r w:rsidR="00DD1FC7" w:rsidRPr="00CB734F">
        <w:rPr>
          <w:sz w:val="20"/>
          <w:szCs w:val="20"/>
          <w:lang w:val="en-GB"/>
        </w:rPr>
        <w:t xml:space="preserve"> Mountains, Utah: implication for fault growth. </w:t>
      </w:r>
      <w:r w:rsidR="00DD1FC7" w:rsidRPr="00CB734F">
        <w:rPr>
          <w:iCs/>
          <w:sz w:val="20"/>
          <w:szCs w:val="20"/>
          <w:lang w:val="en-GB"/>
        </w:rPr>
        <w:t>J. Struct. Geol.</w:t>
      </w:r>
      <w:r w:rsidR="00DD1FC7" w:rsidRPr="00CB734F">
        <w:rPr>
          <w:sz w:val="20"/>
          <w:szCs w:val="20"/>
          <w:lang w:val="en-GB"/>
        </w:rPr>
        <w:t xml:space="preserve">, </w:t>
      </w:r>
      <w:r w:rsidR="00DD1FC7" w:rsidRPr="00CB734F">
        <w:rPr>
          <w:iCs/>
          <w:sz w:val="20"/>
          <w:szCs w:val="20"/>
          <w:lang w:val="en-GB"/>
        </w:rPr>
        <w:t>16</w:t>
      </w:r>
      <w:r w:rsidR="00DD1FC7" w:rsidRPr="00CB734F">
        <w:rPr>
          <w:sz w:val="20"/>
          <w:szCs w:val="20"/>
          <w:lang w:val="en-GB"/>
        </w:rPr>
        <w:t>(8), 1061</w:t>
      </w:r>
      <w:r w:rsidR="00CB734F" w:rsidRPr="00CB734F">
        <w:rPr>
          <w:sz w:val="20"/>
          <w:szCs w:val="20"/>
          <w:lang w:val="en-GB"/>
        </w:rPr>
        <w:t>–</w:t>
      </w:r>
      <w:r w:rsidR="00DD1FC7" w:rsidRPr="00CB734F">
        <w:rPr>
          <w:sz w:val="20"/>
          <w:szCs w:val="20"/>
          <w:lang w:val="en-GB"/>
        </w:rPr>
        <w:t>1075.</w:t>
      </w:r>
    </w:p>
    <w:p w14:paraId="2FA71E4A" w14:textId="78F68E53" w:rsidR="00DD1FC7" w:rsidRPr="00CB734F" w:rsidRDefault="00DD1FC7" w:rsidP="00DD1FC7">
      <w:pPr>
        <w:ind w:left="426" w:hanging="426"/>
        <w:jc w:val="both"/>
        <w:rPr>
          <w:sz w:val="20"/>
          <w:szCs w:val="20"/>
          <w:lang w:val="en-GB"/>
        </w:rPr>
      </w:pPr>
      <w:r w:rsidRPr="00CB734F">
        <w:rPr>
          <w:sz w:val="20"/>
          <w:szCs w:val="20"/>
          <w:lang w:val="en-GB"/>
        </w:rPr>
        <w:t xml:space="preserve">Yielding, G., </w:t>
      </w:r>
      <w:proofErr w:type="spellStart"/>
      <w:r w:rsidRPr="00CB734F">
        <w:rPr>
          <w:sz w:val="20"/>
          <w:szCs w:val="20"/>
          <w:lang w:val="en-GB"/>
        </w:rPr>
        <w:t>Ouyed</w:t>
      </w:r>
      <w:proofErr w:type="spellEnd"/>
      <w:r w:rsidRPr="00CB734F">
        <w:rPr>
          <w:sz w:val="20"/>
          <w:szCs w:val="20"/>
          <w:lang w:val="en-GB"/>
        </w:rPr>
        <w:t xml:space="preserve">, M., King, G. C. P., </w:t>
      </w:r>
      <w:r w:rsidR="00640890" w:rsidRPr="00CB734F">
        <w:rPr>
          <w:sz w:val="20"/>
          <w:szCs w:val="20"/>
          <w:lang w:val="en-GB"/>
        </w:rPr>
        <w:t xml:space="preserve">and </w:t>
      </w:r>
      <w:proofErr w:type="spellStart"/>
      <w:r w:rsidR="00640890" w:rsidRPr="00CB734F">
        <w:rPr>
          <w:sz w:val="20"/>
          <w:szCs w:val="20"/>
          <w:lang w:val="en-GB"/>
        </w:rPr>
        <w:t>Hatzfeld</w:t>
      </w:r>
      <w:proofErr w:type="spellEnd"/>
      <w:r w:rsidR="00640890" w:rsidRPr="00CB734F">
        <w:rPr>
          <w:sz w:val="20"/>
          <w:szCs w:val="20"/>
          <w:lang w:val="en-GB"/>
        </w:rPr>
        <w:t>, D., 1989</w:t>
      </w:r>
      <w:r w:rsidRPr="00CB734F">
        <w:rPr>
          <w:sz w:val="20"/>
          <w:szCs w:val="20"/>
          <w:lang w:val="en-GB"/>
        </w:rPr>
        <w:t xml:space="preserve">. </w:t>
      </w:r>
      <w:proofErr w:type="gramStart"/>
      <w:r w:rsidRPr="00CB734F">
        <w:rPr>
          <w:sz w:val="20"/>
          <w:szCs w:val="20"/>
          <w:lang w:val="en-GB"/>
        </w:rPr>
        <w:t>Active tectonics of the Algerian Atlas Mountains—evidence from aftershocks of the 1980 El Asnam earthquake.</w:t>
      </w:r>
      <w:proofErr w:type="gramEnd"/>
      <w:r w:rsidRPr="00CB734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CB734F">
        <w:rPr>
          <w:iCs/>
          <w:sz w:val="20"/>
          <w:szCs w:val="20"/>
          <w:lang w:val="en-GB"/>
        </w:rPr>
        <w:t>Geoph</w:t>
      </w:r>
      <w:proofErr w:type="spellEnd"/>
      <w:r w:rsidRPr="00CB734F">
        <w:rPr>
          <w:iCs/>
          <w:sz w:val="20"/>
          <w:szCs w:val="20"/>
          <w:lang w:val="en-GB"/>
        </w:rPr>
        <w:t>.</w:t>
      </w:r>
      <w:proofErr w:type="gramEnd"/>
      <w:r w:rsidRPr="00CB734F">
        <w:rPr>
          <w:iCs/>
          <w:sz w:val="20"/>
          <w:szCs w:val="20"/>
          <w:lang w:val="en-GB"/>
        </w:rPr>
        <w:t xml:space="preserve"> J. Int.</w:t>
      </w:r>
      <w:r w:rsidRPr="00CB734F">
        <w:rPr>
          <w:sz w:val="20"/>
          <w:szCs w:val="20"/>
          <w:lang w:val="en-GB"/>
        </w:rPr>
        <w:t xml:space="preserve">, </w:t>
      </w:r>
      <w:r w:rsidRPr="00CB734F">
        <w:rPr>
          <w:iCs/>
          <w:sz w:val="20"/>
          <w:szCs w:val="20"/>
          <w:lang w:val="en-GB"/>
        </w:rPr>
        <w:t>99</w:t>
      </w:r>
      <w:r w:rsidRPr="00CB734F">
        <w:rPr>
          <w:sz w:val="20"/>
          <w:szCs w:val="20"/>
          <w:lang w:val="en-GB"/>
        </w:rPr>
        <w:t>(3), 761</w:t>
      </w:r>
      <w:r w:rsidR="00CB734F" w:rsidRPr="00CB734F">
        <w:rPr>
          <w:sz w:val="20"/>
          <w:szCs w:val="20"/>
          <w:lang w:val="en-GB"/>
        </w:rPr>
        <w:t>–</w:t>
      </w:r>
      <w:r w:rsidRPr="00CB734F">
        <w:rPr>
          <w:sz w:val="20"/>
          <w:szCs w:val="20"/>
          <w:lang w:val="en-GB"/>
        </w:rPr>
        <w:t>788.</w:t>
      </w:r>
    </w:p>
    <w:sectPr w:rsidR="00DD1FC7" w:rsidRPr="00CB734F" w:rsidSect="00EC445A">
      <w:type w:val="continuous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290C" w14:textId="77777777" w:rsidR="00485614" w:rsidRDefault="00485614" w:rsidP="00EE5F89">
      <w:r>
        <w:separator/>
      </w:r>
    </w:p>
  </w:endnote>
  <w:endnote w:type="continuationSeparator" w:id="0">
    <w:p w14:paraId="3F999D7F" w14:textId="77777777" w:rsidR="00485614" w:rsidRDefault="00485614" w:rsidP="00EE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vTT5235d5a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lairMdITC TT-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F49A" w14:textId="77777777" w:rsidR="00485614" w:rsidRDefault="00485614" w:rsidP="00DD1F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8C026D" w14:textId="77777777" w:rsidR="00485614" w:rsidRDefault="00485614" w:rsidP="00EE5F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F8FF" w14:textId="77777777" w:rsidR="00485614" w:rsidRDefault="00485614" w:rsidP="00DD1F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734F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99C2786" w14:textId="77777777" w:rsidR="00485614" w:rsidRDefault="00485614" w:rsidP="00EE5F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B722" w14:textId="77777777" w:rsidR="00485614" w:rsidRDefault="00485614" w:rsidP="00EE5F89">
      <w:r>
        <w:separator/>
      </w:r>
    </w:p>
  </w:footnote>
  <w:footnote w:type="continuationSeparator" w:id="0">
    <w:p w14:paraId="19DA2107" w14:textId="77777777" w:rsidR="00485614" w:rsidRDefault="00485614" w:rsidP="00EE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CBD"/>
    <w:multiLevelType w:val="hybridMultilevel"/>
    <w:tmpl w:val="BE88D84A"/>
    <w:lvl w:ilvl="0" w:tplc="4CB07408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024AA"/>
    <w:rsid w:val="00022FD9"/>
    <w:rsid w:val="00024380"/>
    <w:rsid w:val="00024816"/>
    <w:rsid w:val="0002572D"/>
    <w:rsid w:val="000260B9"/>
    <w:rsid w:val="00040071"/>
    <w:rsid w:val="00040538"/>
    <w:rsid w:val="00050AAC"/>
    <w:rsid w:val="0005178F"/>
    <w:rsid w:val="0005583F"/>
    <w:rsid w:val="00060C61"/>
    <w:rsid w:val="00060ED6"/>
    <w:rsid w:val="00061FED"/>
    <w:rsid w:val="0006231B"/>
    <w:rsid w:val="000630AE"/>
    <w:rsid w:val="000645AB"/>
    <w:rsid w:val="00070373"/>
    <w:rsid w:val="000728BD"/>
    <w:rsid w:val="00092A94"/>
    <w:rsid w:val="000937EC"/>
    <w:rsid w:val="00094001"/>
    <w:rsid w:val="000A11D2"/>
    <w:rsid w:val="000B0274"/>
    <w:rsid w:val="000B5ABC"/>
    <w:rsid w:val="000C1629"/>
    <w:rsid w:val="000C2A46"/>
    <w:rsid w:val="000C3140"/>
    <w:rsid w:val="000C5224"/>
    <w:rsid w:val="000D0378"/>
    <w:rsid w:val="000D0F0A"/>
    <w:rsid w:val="000D4E4C"/>
    <w:rsid w:val="000D6DC8"/>
    <w:rsid w:val="000E08BB"/>
    <w:rsid w:val="000E3803"/>
    <w:rsid w:val="000E433F"/>
    <w:rsid w:val="000E55A5"/>
    <w:rsid w:val="00104D3C"/>
    <w:rsid w:val="0010732F"/>
    <w:rsid w:val="00107498"/>
    <w:rsid w:val="00113314"/>
    <w:rsid w:val="00114E6D"/>
    <w:rsid w:val="00116CA5"/>
    <w:rsid w:val="00123613"/>
    <w:rsid w:val="00133856"/>
    <w:rsid w:val="00136110"/>
    <w:rsid w:val="001401F2"/>
    <w:rsid w:val="00152BA3"/>
    <w:rsid w:val="00155921"/>
    <w:rsid w:val="00161D41"/>
    <w:rsid w:val="0016323F"/>
    <w:rsid w:val="0016363F"/>
    <w:rsid w:val="001648BD"/>
    <w:rsid w:val="00175278"/>
    <w:rsid w:val="00176E79"/>
    <w:rsid w:val="00177942"/>
    <w:rsid w:val="00195C94"/>
    <w:rsid w:val="0019693B"/>
    <w:rsid w:val="001A72F5"/>
    <w:rsid w:val="001B12B9"/>
    <w:rsid w:val="001B5A59"/>
    <w:rsid w:val="001B7B7C"/>
    <w:rsid w:val="001C1D37"/>
    <w:rsid w:val="001C3FB1"/>
    <w:rsid w:val="001C7DCF"/>
    <w:rsid w:val="001D107B"/>
    <w:rsid w:val="001D2F8F"/>
    <w:rsid w:val="001E2194"/>
    <w:rsid w:val="001E3DC0"/>
    <w:rsid w:val="001E65C6"/>
    <w:rsid w:val="001F05F3"/>
    <w:rsid w:val="001F2B0E"/>
    <w:rsid w:val="001F38C1"/>
    <w:rsid w:val="001F7F78"/>
    <w:rsid w:val="00205B97"/>
    <w:rsid w:val="00206BC0"/>
    <w:rsid w:val="0021116A"/>
    <w:rsid w:val="00223B9E"/>
    <w:rsid w:val="00230E95"/>
    <w:rsid w:val="00236027"/>
    <w:rsid w:val="00236196"/>
    <w:rsid w:val="00237E4D"/>
    <w:rsid w:val="00242202"/>
    <w:rsid w:val="00253881"/>
    <w:rsid w:val="00257DBC"/>
    <w:rsid w:val="00266D57"/>
    <w:rsid w:val="00266E77"/>
    <w:rsid w:val="00271E09"/>
    <w:rsid w:val="00274A2D"/>
    <w:rsid w:val="00275364"/>
    <w:rsid w:val="002803CE"/>
    <w:rsid w:val="00280CE1"/>
    <w:rsid w:val="002828F9"/>
    <w:rsid w:val="002876B3"/>
    <w:rsid w:val="00290CC4"/>
    <w:rsid w:val="0029604D"/>
    <w:rsid w:val="002A21D5"/>
    <w:rsid w:val="002A5701"/>
    <w:rsid w:val="002A5FC7"/>
    <w:rsid w:val="002B3258"/>
    <w:rsid w:val="002C3B89"/>
    <w:rsid w:val="002C645A"/>
    <w:rsid w:val="002D2735"/>
    <w:rsid w:val="002D30B6"/>
    <w:rsid w:val="002D6285"/>
    <w:rsid w:val="002E08BC"/>
    <w:rsid w:val="002E170A"/>
    <w:rsid w:val="002E657A"/>
    <w:rsid w:val="002E684A"/>
    <w:rsid w:val="002F087B"/>
    <w:rsid w:val="00300B2A"/>
    <w:rsid w:val="00311CBF"/>
    <w:rsid w:val="003267B0"/>
    <w:rsid w:val="003312C5"/>
    <w:rsid w:val="00331E67"/>
    <w:rsid w:val="003328FF"/>
    <w:rsid w:val="00335980"/>
    <w:rsid w:val="00337100"/>
    <w:rsid w:val="00340F97"/>
    <w:rsid w:val="003533DD"/>
    <w:rsid w:val="00353BB8"/>
    <w:rsid w:val="0035570C"/>
    <w:rsid w:val="00361DEA"/>
    <w:rsid w:val="0036485C"/>
    <w:rsid w:val="0036634C"/>
    <w:rsid w:val="003673D8"/>
    <w:rsid w:val="00374E77"/>
    <w:rsid w:val="00386BD8"/>
    <w:rsid w:val="00392235"/>
    <w:rsid w:val="00392736"/>
    <w:rsid w:val="003B4112"/>
    <w:rsid w:val="003C331E"/>
    <w:rsid w:val="003C446F"/>
    <w:rsid w:val="003C628D"/>
    <w:rsid w:val="003C6CF5"/>
    <w:rsid w:val="003D51BC"/>
    <w:rsid w:val="003D584A"/>
    <w:rsid w:val="003E5132"/>
    <w:rsid w:val="003F1110"/>
    <w:rsid w:val="003F6C8F"/>
    <w:rsid w:val="00402CC2"/>
    <w:rsid w:val="00416F3B"/>
    <w:rsid w:val="00422351"/>
    <w:rsid w:val="00423095"/>
    <w:rsid w:val="004445FF"/>
    <w:rsid w:val="00445196"/>
    <w:rsid w:val="00450380"/>
    <w:rsid w:val="00454BC8"/>
    <w:rsid w:val="0046420C"/>
    <w:rsid w:val="0047271E"/>
    <w:rsid w:val="0047428F"/>
    <w:rsid w:val="0048369E"/>
    <w:rsid w:val="00485614"/>
    <w:rsid w:val="0048680C"/>
    <w:rsid w:val="0049040B"/>
    <w:rsid w:val="00497F07"/>
    <w:rsid w:val="004A06FB"/>
    <w:rsid w:val="004A399B"/>
    <w:rsid w:val="004A6F3A"/>
    <w:rsid w:val="004B12F0"/>
    <w:rsid w:val="004B7C89"/>
    <w:rsid w:val="004C1519"/>
    <w:rsid w:val="004C6AA9"/>
    <w:rsid w:val="004C7C14"/>
    <w:rsid w:val="004E090C"/>
    <w:rsid w:val="004E096B"/>
    <w:rsid w:val="004E1953"/>
    <w:rsid w:val="004E5C31"/>
    <w:rsid w:val="004F52E4"/>
    <w:rsid w:val="005120FF"/>
    <w:rsid w:val="00515A2C"/>
    <w:rsid w:val="0051758F"/>
    <w:rsid w:val="00520013"/>
    <w:rsid w:val="005265FC"/>
    <w:rsid w:val="00526C47"/>
    <w:rsid w:val="005351B2"/>
    <w:rsid w:val="00535D85"/>
    <w:rsid w:val="00537558"/>
    <w:rsid w:val="00540315"/>
    <w:rsid w:val="005424AE"/>
    <w:rsid w:val="00542515"/>
    <w:rsid w:val="00544F23"/>
    <w:rsid w:val="00550A2D"/>
    <w:rsid w:val="005546EE"/>
    <w:rsid w:val="00562D60"/>
    <w:rsid w:val="00573D87"/>
    <w:rsid w:val="00574DFB"/>
    <w:rsid w:val="00585FBD"/>
    <w:rsid w:val="00587C29"/>
    <w:rsid w:val="005903E8"/>
    <w:rsid w:val="005A2DE0"/>
    <w:rsid w:val="005A541A"/>
    <w:rsid w:val="005B2956"/>
    <w:rsid w:val="005B4BB3"/>
    <w:rsid w:val="005C37DF"/>
    <w:rsid w:val="005C46BC"/>
    <w:rsid w:val="005D50FD"/>
    <w:rsid w:val="005E008C"/>
    <w:rsid w:val="005E0D7E"/>
    <w:rsid w:val="005E4D9A"/>
    <w:rsid w:val="005E79F5"/>
    <w:rsid w:val="005F09A8"/>
    <w:rsid w:val="005F121D"/>
    <w:rsid w:val="005F1950"/>
    <w:rsid w:val="005F49A5"/>
    <w:rsid w:val="005F5594"/>
    <w:rsid w:val="005F65BC"/>
    <w:rsid w:val="006005BF"/>
    <w:rsid w:val="006074C1"/>
    <w:rsid w:val="00610E75"/>
    <w:rsid w:val="00613B24"/>
    <w:rsid w:val="006212E0"/>
    <w:rsid w:val="00621748"/>
    <w:rsid w:val="006301E3"/>
    <w:rsid w:val="00640890"/>
    <w:rsid w:val="006511BB"/>
    <w:rsid w:val="00652665"/>
    <w:rsid w:val="006567DE"/>
    <w:rsid w:val="006666EC"/>
    <w:rsid w:val="006672CC"/>
    <w:rsid w:val="006675D1"/>
    <w:rsid w:val="00670169"/>
    <w:rsid w:val="00672C7A"/>
    <w:rsid w:val="00673322"/>
    <w:rsid w:val="0067414B"/>
    <w:rsid w:val="00687588"/>
    <w:rsid w:val="00691689"/>
    <w:rsid w:val="006936E7"/>
    <w:rsid w:val="00696D70"/>
    <w:rsid w:val="006A10F8"/>
    <w:rsid w:val="006A6622"/>
    <w:rsid w:val="006A66A2"/>
    <w:rsid w:val="006B1BBB"/>
    <w:rsid w:val="006C65F8"/>
    <w:rsid w:val="006D06F1"/>
    <w:rsid w:val="006D0E6D"/>
    <w:rsid w:val="006D1A09"/>
    <w:rsid w:val="006D5894"/>
    <w:rsid w:val="006E187C"/>
    <w:rsid w:val="006E38CF"/>
    <w:rsid w:val="006E4C7E"/>
    <w:rsid w:val="006F40E1"/>
    <w:rsid w:val="006F77C6"/>
    <w:rsid w:val="007042BB"/>
    <w:rsid w:val="007051F2"/>
    <w:rsid w:val="00710DC1"/>
    <w:rsid w:val="0071530E"/>
    <w:rsid w:val="00721923"/>
    <w:rsid w:val="00724A3F"/>
    <w:rsid w:val="00725049"/>
    <w:rsid w:val="007321CD"/>
    <w:rsid w:val="0073399B"/>
    <w:rsid w:val="00741EFF"/>
    <w:rsid w:val="0075299C"/>
    <w:rsid w:val="0076573A"/>
    <w:rsid w:val="00766A47"/>
    <w:rsid w:val="00773A71"/>
    <w:rsid w:val="00773C48"/>
    <w:rsid w:val="00774500"/>
    <w:rsid w:val="00783DCB"/>
    <w:rsid w:val="007902E5"/>
    <w:rsid w:val="00796FEB"/>
    <w:rsid w:val="007B4087"/>
    <w:rsid w:val="007C222B"/>
    <w:rsid w:val="007C2B63"/>
    <w:rsid w:val="007D14EE"/>
    <w:rsid w:val="007D6E52"/>
    <w:rsid w:val="007F0103"/>
    <w:rsid w:val="007F16EC"/>
    <w:rsid w:val="007F1F93"/>
    <w:rsid w:val="007F507C"/>
    <w:rsid w:val="007F6EB9"/>
    <w:rsid w:val="00801696"/>
    <w:rsid w:val="00823801"/>
    <w:rsid w:val="00830C39"/>
    <w:rsid w:val="00830EAD"/>
    <w:rsid w:val="00832D70"/>
    <w:rsid w:val="00835388"/>
    <w:rsid w:val="008438B8"/>
    <w:rsid w:val="00844B1B"/>
    <w:rsid w:val="008466C0"/>
    <w:rsid w:val="0085145C"/>
    <w:rsid w:val="0085389D"/>
    <w:rsid w:val="00853A84"/>
    <w:rsid w:val="00860CB6"/>
    <w:rsid w:val="00862245"/>
    <w:rsid w:val="008639FD"/>
    <w:rsid w:val="00866A1C"/>
    <w:rsid w:val="008756BF"/>
    <w:rsid w:val="00877322"/>
    <w:rsid w:val="0088500C"/>
    <w:rsid w:val="008B52FA"/>
    <w:rsid w:val="008C28DC"/>
    <w:rsid w:val="008D4526"/>
    <w:rsid w:val="008D655A"/>
    <w:rsid w:val="008E0920"/>
    <w:rsid w:val="008E218B"/>
    <w:rsid w:val="008E2194"/>
    <w:rsid w:val="008E2E4A"/>
    <w:rsid w:val="008E2E4C"/>
    <w:rsid w:val="008E3BC6"/>
    <w:rsid w:val="008E40BC"/>
    <w:rsid w:val="008E4246"/>
    <w:rsid w:val="008F2812"/>
    <w:rsid w:val="008F2A3D"/>
    <w:rsid w:val="0090796F"/>
    <w:rsid w:val="00923A95"/>
    <w:rsid w:val="009264E8"/>
    <w:rsid w:val="00933D6C"/>
    <w:rsid w:val="0093636C"/>
    <w:rsid w:val="00942370"/>
    <w:rsid w:val="00945D42"/>
    <w:rsid w:val="00950E4A"/>
    <w:rsid w:val="00956FE3"/>
    <w:rsid w:val="0096029A"/>
    <w:rsid w:val="009649C5"/>
    <w:rsid w:val="00965300"/>
    <w:rsid w:val="00967134"/>
    <w:rsid w:val="009720FD"/>
    <w:rsid w:val="00974082"/>
    <w:rsid w:val="00980143"/>
    <w:rsid w:val="00981C9C"/>
    <w:rsid w:val="009848E4"/>
    <w:rsid w:val="00985864"/>
    <w:rsid w:val="00994942"/>
    <w:rsid w:val="009A0AEA"/>
    <w:rsid w:val="009A325B"/>
    <w:rsid w:val="009B003F"/>
    <w:rsid w:val="009B0D4C"/>
    <w:rsid w:val="009C042C"/>
    <w:rsid w:val="009C28ED"/>
    <w:rsid w:val="009C2EA6"/>
    <w:rsid w:val="009C374B"/>
    <w:rsid w:val="009C4467"/>
    <w:rsid w:val="009D08A8"/>
    <w:rsid w:val="009D0FA7"/>
    <w:rsid w:val="009D46F5"/>
    <w:rsid w:val="009D593F"/>
    <w:rsid w:val="009E7234"/>
    <w:rsid w:val="009F3334"/>
    <w:rsid w:val="009F4577"/>
    <w:rsid w:val="00A04922"/>
    <w:rsid w:val="00A0517D"/>
    <w:rsid w:val="00A07B3E"/>
    <w:rsid w:val="00A158B1"/>
    <w:rsid w:val="00A32F95"/>
    <w:rsid w:val="00A40CDB"/>
    <w:rsid w:val="00A43AB4"/>
    <w:rsid w:val="00A467C4"/>
    <w:rsid w:val="00A54EEE"/>
    <w:rsid w:val="00A55047"/>
    <w:rsid w:val="00A563A1"/>
    <w:rsid w:val="00A64F6D"/>
    <w:rsid w:val="00A80945"/>
    <w:rsid w:val="00A81B08"/>
    <w:rsid w:val="00A83C15"/>
    <w:rsid w:val="00A90C2D"/>
    <w:rsid w:val="00A90F47"/>
    <w:rsid w:val="00A97C63"/>
    <w:rsid w:val="00A97DF0"/>
    <w:rsid w:val="00AA04BB"/>
    <w:rsid w:val="00AB225B"/>
    <w:rsid w:val="00AB58D8"/>
    <w:rsid w:val="00AB7E1F"/>
    <w:rsid w:val="00AC032C"/>
    <w:rsid w:val="00AC443B"/>
    <w:rsid w:val="00AC6C3B"/>
    <w:rsid w:val="00AD14FB"/>
    <w:rsid w:val="00AD3D99"/>
    <w:rsid w:val="00AE29C1"/>
    <w:rsid w:val="00B00041"/>
    <w:rsid w:val="00B00A5D"/>
    <w:rsid w:val="00B1334A"/>
    <w:rsid w:val="00B13B8F"/>
    <w:rsid w:val="00B21B61"/>
    <w:rsid w:val="00B274CC"/>
    <w:rsid w:val="00B30D79"/>
    <w:rsid w:val="00B32A93"/>
    <w:rsid w:val="00B45600"/>
    <w:rsid w:val="00B502C3"/>
    <w:rsid w:val="00B50C27"/>
    <w:rsid w:val="00B51281"/>
    <w:rsid w:val="00B576C2"/>
    <w:rsid w:val="00B615B9"/>
    <w:rsid w:val="00B627E9"/>
    <w:rsid w:val="00B63DC4"/>
    <w:rsid w:val="00B766B2"/>
    <w:rsid w:val="00B87CA1"/>
    <w:rsid w:val="00B90F34"/>
    <w:rsid w:val="00B911DA"/>
    <w:rsid w:val="00B95771"/>
    <w:rsid w:val="00BA3FBD"/>
    <w:rsid w:val="00BB0485"/>
    <w:rsid w:val="00BB126D"/>
    <w:rsid w:val="00BB231F"/>
    <w:rsid w:val="00BB6D88"/>
    <w:rsid w:val="00BB727F"/>
    <w:rsid w:val="00BC211B"/>
    <w:rsid w:val="00BC39E1"/>
    <w:rsid w:val="00BC4792"/>
    <w:rsid w:val="00BC7CCC"/>
    <w:rsid w:val="00BD1C69"/>
    <w:rsid w:val="00BD4730"/>
    <w:rsid w:val="00BD4FFE"/>
    <w:rsid w:val="00BD6043"/>
    <w:rsid w:val="00BE6D0B"/>
    <w:rsid w:val="00BE7DE0"/>
    <w:rsid w:val="00BF2FF2"/>
    <w:rsid w:val="00C0076A"/>
    <w:rsid w:val="00C10B3E"/>
    <w:rsid w:val="00C21BAF"/>
    <w:rsid w:val="00C24754"/>
    <w:rsid w:val="00C249FE"/>
    <w:rsid w:val="00C32E31"/>
    <w:rsid w:val="00C364D3"/>
    <w:rsid w:val="00C37321"/>
    <w:rsid w:val="00C37A7C"/>
    <w:rsid w:val="00C412C3"/>
    <w:rsid w:val="00C4705D"/>
    <w:rsid w:val="00C5246E"/>
    <w:rsid w:val="00C55CE1"/>
    <w:rsid w:val="00C56B3F"/>
    <w:rsid w:val="00C57D04"/>
    <w:rsid w:val="00C61307"/>
    <w:rsid w:val="00C844D8"/>
    <w:rsid w:val="00C948E4"/>
    <w:rsid w:val="00C96510"/>
    <w:rsid w:val="00C96A3F"/>
    <w:rsid w:val="00CA18DD"/>
    <w:rsid w:val="00CA34B2"/>
    <w:rsid w:val="00CB56AC"/>
    <w:rsid w:val="00CB734F"/>
    <w:rsid w:val="00CB7E3E"/>
    <w:rsid w:val="00CC6836"/>
    <w:rsid w:val="00CD1E22"/>
    <w:rsid w:val="00CE000B"/>
    <w:rsid w:val="00CE0C60"/>
    <w:rsid w:val="00CE7921"/>
    <w:rsid w:val="00CF5405"/>
    <w:rsid w:val="00D0067B"/>
    <w:rsid w:val="00D024B9"/>
    <w:rsid w:val="00D033F7"/>
    <w:rsid w:val="00D10EEC"/>
    <w:rsid w:val="00D11592"/>
    <w:rsid w:val="00D1167E"/>
    <w:rsid w:val="00D129D5"/>
    <w:rsid w:val="00D13170"/>
    <w:rsid w:val="00D13ADF"/>
    <w:rsid w:val="00D149BA"/>
    <w:rsid w:val="00D16865"/>
    <w:rsid w:val="00D240A3"/>
    <w:rsid w:val="00D259C7"/>
    <w:rsid w:val="00D32A70"/>
    <w:rsid w:val="00D3405D"/>
    <w:rsid w:val="00D35AA8"/>
    <w:rsid w:val="00D35AB3"/>
    <w:rsid w:val="00D3634D"/>
    <w:rsid w:val="00D455F7"/>
    <w:rsid w:val="00D50346"/>
    <w:rsid w:val="00D635BE"/>
    <w:rsid w:val="00D67D27"/>
    <w:rsid w:val="00D72D6E"/>
    <w:rsid w:val="00D77CB0"/>
    <w:rsid w:val="00D81528"/>
    <w:rsid w:val="00D95164"/>
    <w:rsid w:val="00DA22AD"/>
    <w:rsid w:val="00DA5561"/>
    <w:rsid w:val="00DB6197"/>
    <w:rsid w:val="00DC0337"/>
    <w:rsid w:val="00DC4EC8"/>
    <w:rsid w:val="00DC5992"/>
    <w:rsid w:val="00DC7619"/>
    <w:rsid w:val="00DD0E89"/>
    <w:rsid w:val="00DD1F1A"/>
    <w:rsid w:val="00DD1FC7"/>
    <w:rsid w:val="00DD5962"/>
    <w:rsid w:val="00DE5ECC"/>
    <w:rsid w:val="00DF0412"/>
    <w:rsid w:val="00DF0D44"/>
    <w:rsid w:val="00DF3267"/>
    <w:rsid w:val="00DF5F69"/>
    <w:rsid w:val="00E05B92"/>
    <w:rsid w:val="00E07435"/>
    <w:rsid w:val="00E16912"/>
    <w:rsid w:val="00E23AE8"/>
    <w:rsid w:val="00E23CAA"/>
    <w:rsid w:val="00E25E3A"/>
    <w:rsid w:val="00E27F1B"/>
    <w:rsid w:val="00E33211"/>
    <w:rsid w:val="00E5509D"/>
    <w:rsid w:val="00E6024F"/>
    <w:rsid w:val="00E614A7"/>
    <w:rsid w:val="00E66C45"/>
    <w:rsid w:val="00E73143"/>
    <w:rsid w:val="00E747DD"/>
    <w:rsid w:val="00E74A46"/>
    <w:rsid w:val="00EA1ABE"/>
    <w:rsid w:val="00EA281C"/>
    <w:rsid w:val="00EA4307"/>
    <w:rsid w:val="00EA4998"/>
    <w:rsid w:val="00EB75B8"/>
    <w:rsid w:val="00EC1B23"/>
    <w:rsid w:val="00EC445A"/>
    <w:rsid w:val="00EC530D"/>
    <w:rsid w:val="00ED3A5D"/>
    <w:rsid w:val="00EE2D50"/>
    <w:rsid w:val="00EE5F64"/>
    <w:rsid w:val="00EE5F89"/>
    <w:rsid w:val="00EE68E4"/>
    <w:rsid w:val="00EF0101"/>
    <w:rsid w:val="00EF3EBA"/>
    <w:rsid w:val="00F01791"/>
    <w:rsid w:val="00F01E86"/>
    <w:rsid w:val="00F02D2D"/>
    <w:rsid w:val="00F05728"/>
    <w:rsid w:val="00F0666D"/>
    <w:rsid w:val="00F077B9"/>
    <w:rsid w:val="00F10FE2"/>
    <w:rsid w:val="00F13FB8"/>
    <w:rsid w:val="00F235ED"/>
    <w:rsid w:val="00F271E7"/>
    <w:rsid w:val="00F320A2"/>
    <w:rsid w:val="00F33FDE"/>
    <w:rsid w:val="00F34CDB"/>
    <w:rsid w:val="00F377E9"/>
    <w:rsid w:val="00F428BD"/>
    <w:rsid w:val="00F5748E"/>
    <w:rsid w:val="00F57BA5"/>
    <w:rsid w:val="00F7066C"/>
    <w:rsid w:val="00F71E14"/>
    <w:rsid w:val="00F72DE2"/>
    <w:rsid w:val="00F818B1"/>
    <w:rsid w:val="00F834AA"/>
    <w:rsid w:val="00F858E8"/>
    <w:rsid w:val="00F85C70"/>
    <w:rsid w:val="00F86A65"/>
    <w:rsid w:val="00F9238C"/>
    <w:rsid w:val="00F936C2"/>
    <w:rsid w:val="00F94B8D"/>
    <w:rsid w:val="00FA01F4"/>
    <w:rsid w:val="00FA49E6"/>
    <w:rsid w:val="00FB148F"/>
    <w:rsid w:val="00FB38DB"/>
    <w:rsid w:val="00FB62C3"/>
    <w:rsid w:val="00FC310A"/>
    <w:rsid w:val="00FD4DF3"/>
    <w:rsid w:val="00FD52F8"/>
    <w:rsid w:val="00FD5ECB"/>
    <w:rsid w:val="00FD62B9"/>
    <w:rsid w:val="00FD685E"/>
    <w:rsid w:val="00FF1A8E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5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8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89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0C2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E5F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F89"/>
  </w:style>
  <w:style w:type="character" w:styleId="Numrodepage">
    <w:name w:val="page number"/>
    <w:basedOn w:val="Policepardfaut"/>
    <w:uiPriority w:val="99"/>
    <w:semiHidden/>
    <w:unhideWhenUsed/>
    <w:rsid w:val="00EE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8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89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0C2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E5F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F89"/>
  </w:style>
  <w:style w:type="character" w:styleId="Numrodepage">
    <w:name w:val="page number"/>
    <w:basedOn w:val="Policepardfaut"/>
    <w:uiPriority w:val="99"/>
    <w:semiHidden/>
    <w:unhideWhenUsed/>
    <w:rsid w:val="00EE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9BC13-6CE7-4768-8E8F-9B917DC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2172</Words>
  <Characters>11946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Geoazur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Manighetti</dc:creator>
  <cp:lastModifiedBy>Reed Elsevier</cp:lastModifiedBy>
  <cp:revision>2</cp:revision>
  <cp:lastPrinted>2015-03-18T10:33:00Z</cp:lastPrinted>
  <dcterms:created xsi:type="dcterms:W3CDTF">2015-06-03T14:03:00Z</dcterms:created>
  <dcterms:modified xsi:type="dcterms:W3CDTF">2015-06-03T14:03:00Z</dcterms:modified>
</cp:coreProperties>
</file>