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4F9F" w:rsidRDefault="00764F9F" w:rsidP="00076B0B">
      <w:pPr>
        <w:pStyle w:val="Heading3"/>
        <w:shd w:val="clear" w:color="auto" w:fill="FFFFFF"/>
        <w:spacing w:before="0"/>
        <w:jc w:val="both"/>
        <w:rPr>
          <w:rFonts w:ascii="Times New Roman" w:hAnsi="Times New Roman" w:cs="Times New Roman"/>
          <w:i/>
          <w:color w:val="000000"/>
          <w:szCs w:val="36"/>
          <w:lang w:val="en-US"/>
        </w:rPr>
      </w:pPr>
      <w:bookmarkStart w:id="0" w:name="_GoBack"/>
      <w:bookmarkEnd w:id="0"/>
      <w:proofErr w:type="gramStart"/>
      <w:r>
        <w:rPr>
          <w:rFonts w:ascii="Times New Roman" w:hAnsi="Times New Roman" w:cs="Times New Roman"/>
          <w:i/>
          <w:color w:val="000000"/>
          <w:szCs w:val="36"/>
          <w:lang w:val="en-US"/>
        </w:rPr>
        <w:t>S1 :</w:t>
      </w:r>
      <w:proofErr w:type="gramEnd"/>
      <w:r>
        <w:rPr>
          <w:rFonts w:ascii="Times New Roman" w:hAnsi="Times New Roman" w:cs="Times New Roman"/>
          <w:i/>
          <w:color w:val="000000"/>
          <w:szCs w:val="36"/>
          <w:lang w:val="en-US"/>
        </w:rPr>
        <w:t xml:space="preserve"> Material and method description</w:t>
      </w:r>
    </w:p>
    <w:p w:rsidR="00764F9F" w:rsidRDefault="00764F9F" w:rsidP="00076B0B">
      <w:pPr>
        <w:pStyle w:val="Heading3"/>
        <w:shd w:val="clear" w:color="auto" w:fill="FFFFFF"/>
        <w:spacing w:before="0"/>
        <w:jc w:val="both"/>
        <w:rPr>
          <w:rFonts w:ascii="Times New Roman" w:hAnsi="Times New Roman" w:cs="Times New Roman"/>
          <w:i/>
          <w:color w:val="000000"/>
          <w:szCs w:val="36"/>
          <w:lang w:val="en-US"/>
        </w:rPr>
      </w:pPr>
    </w:p>
    <w:p w:rsidR="00076B0B" w:rsidRPr="000727F8" w:rsidRDefault="00076B0B" w:rsidP="00076B0B">
      <w:pPr>
        <w:pStyle w:val="Heading3"/>
        <w:shd w:val="clear" w:color="auto" w:fill="FFFFFF"/>
        <w:spacing w:before="0"/>
        <w:jc w:val="both"/>
        <w:rPr>
          <w:rFonts w:ascii="Times New Roman" w:hAnsi="Times New Roman" w:cs="Times New Roman"/>
          <w:i/>
          <w:color w:val="000000"/>
          <w:szCs w:val="36"/>
          <w:lang w:val="en-US"/>
        </w:rPr>
      </w:pPr>
      <w:r w:rsidRPr="000727F8">
        <w:rPr>
          <w:rFonts w:ascii="Times New Roman" w:hAnsi="Times New Roman" w:cs="Times New Roman"/>
          <w:i/>
          <w:color w:val="000000"/>
          <w:szCs w:val="36"/>
          <w:lang w:val="en-US"/>
        </w:rPr>
        <w:t>Hydroclimate data</w:t>
      </w:r>
    </w:p>
    <w:p w:rsidR="00D80C20" w:rsidRPr="000727F8" w:rsidRDefault="00076B0B" w:rsidP="00D80C20">
      <w:pPr>
        <w:pStyle w:val="Heading3"/>
        <w:shd w:val="clear" w:color="auto" w:fill="FFFFFF"/>
        <w:spacing w:before="0"/>
        <w:ind w:firstLine="708"/>
        <w:jc w:val="both"/>
        <w:rPr>
          <w:rFonts w:ascii="Times New Roman" w:hAnsi="Times New Roman" w:cs="Times New Roman"/>
          <w:color w:val="000000"/>
          <w:szCs w:val="36"/>
          <w:lang w:val="en-US"/>
        </w:rPr>
      </w:pPr>
      <w:r w:rsidRPr="000727F8">
        <w:rPr>
          <w:rFonts w:ascii="Times New Roman" w:hAnsi="Times New Roman" w:cs="Times New Roman"/>
          <w:color w:val="000000"/>
          <w:szCs w:val="36"/>
          <w:lang w:val="en-US"/>
        </w:rPr>
        <w:t xml:space="preserve">Mean annual rainfall </w:t>
      </w:r>
      <w:r w:rsidR="00D80C20" w:rsidRPr="000727F8">
        <w:rPr>
          <w:rFonts w:ascii="Times New Roman" w:hAnsi="Times New Roman" w:cs="Times New Roman"/>
          <w:color w:val="000000"/>
          <w:szCs w:val="36"/>
          <w:lang w:val="en-US"/>
        </w:rPr>
        <w:t xml:space="preserve">was </w:t>
      </w:r>
      <w:r w:rsidRPr="000727F8">
        <w:rPr>
          <w:rFonts w:ascii="Times New Roman" w:hAnsi="Times New Roman" w:cs="Times New Roman"/>
          <w:color w:val="000000"/>
          <w:szCs w:val="36"/>
          <w:lang w:val="en-US"/>
        </w:rPr>
        <w:t xml:space="preserve">extracted for each basin from the TRMM </w:t>
      </w:r>
      <w:r w:rsidR="00673A23" w:rsidRPr="000727F8">
        <w:rPr>
          <w:rFonts w:ascii="Times New Roman" w:hAnsi="Times New Roman" w:cs="Times New Roman"/>
          <w:color w:val="000000"/>
          <w:szCs w:val="36"/>
          <w:lang w:val="en-US"/>
        </w:rPr>
        <w:t xml:space="preserve">v.7 </w:t>
      </w:r>
      <w:r w:rsidR="00D80C20" w:rsidRPr="000727F8">
        <w:rPr>
          <w:rFonts w:ascii="Times New Roman" w:hAnsi="Times New Roman" w:cs="Times New Roman"/>
          <w:color w:val="000000"/>
          <w:szCs w:val="36"/>
          <w:lang w:val="en-US"/>
        </w:rPr>
        <w:t>(Tropical Rainfall Measuring Mission - period: 1998-2009) acquisition free, downloaded from the TRMM website (</w:t>
      </w:r>
      <w:hyperlink r:id="rId4" w:anchor="tif" w:history="1">
        <w:r w:rsidR="00D80C20" w:rsidRPr="000727F8">
          <w:rPr>
            <w:rStyle w:val="Hyperlink"/>
            <w:rFonts w:ascii="Times New Roman" w:hAnsi="Times New Roman" w:cs="Times New Roman"/>
            <w:szCs w:val="36"/>
            <w:lang w:val="en-US"/>
          </w:rPr>
          <w:t>http://www.geog.ucsb.edu/~bodo/TRMM/#tif</w:t>
        </w:r>
      </w:hyperlink>
      <w:r w:rsidR="00D80C20" w:rsidRPr="000727F8">
        <w:rPr>
          <w:rFonts w:ascii="Times New Roman" w:hAnsi="Times New Roman" w:cs="Times New Roman"/>
          <w:color w:val="000000"/>
          <w:szCs w:val="36"/>
          <w:lang w:val="en-US"/>
        </w:rPr>
        <w:t>).</w:t>
      </w:r>
    </w:p>
    <w:p w:rsidR="00D80C20" w:rsidRPr="000727F8" w:rsidRDefault="00D80C20" w:rsidP="00D80C20">
      <w:pPr>
        <w:pStyle w:val="Heading3"/>
        <w:shd w:val="clear" w:color="auto" w:fill="FFFFFF"/>
        <w:spacing w:before="0"/>
        <w:ind w:firstLine="708"/>
        <w:jc w:val="both"/>
        <w:rPr>
          <w:rFonts w:ascii="Times New Roman" w:hAnsi="Times New Roman" w:cs="Times New Roman"/>
          <w:color w:val="000000"/>
          <w:szCs w:val="36"/>
          <w:lang w:val="en-US"/>
        </w:rPr>
      </w:pPr>
      <w:r w:rsidRPr="000727F8">
        <w:rPr>
          <w:rFonts w:ascii="Times New Roman" w:hAnsi="Times New Roman" w:cs="Times New Roman"/>
          <w:color w:val="000000"/>
          <w:szCs w:val="36"/>
          <w:lang w:val="en-US"/>
        </w:rPr>
        <w:t>At the 5 HYBAM stations, daily river discharge was measured by the hydrological institutes for their respective countries (INAMHI in Ecuador and SENAMHI in Peru). These data were reported at a daily timescale in the HYBAM database for the monitoring stations and at an annual timescale (</w:t>
      </w:r>
      <w:proofErr w:type="spellStart"/>
      <w:r w:rsidRPr="000727F8">
        <w:rPr>
          <w:rFonts w:ascii="Times New Roman" w:hAnsi="Times New Roman" w:cs="Times New Roman"/>
          <w:color w:val="000000"/>
          <w:szCs w:val="36"/>
          <w:lang w:val="en-US"/>
        </w:rPr>
        <w:t>Lavado</w:t>
      </w:r>
      <w:proofErr w:type="spellEnd"/>
      <w:r w:rsidRPr="000727F8">
        <w:rPr>
          <w:rFonts w:ascii="Times New Roman" w:hAnsi="Times New Roman" w:cs="Times New Roman"/>
          <w:color w:val="000000"/>
          <w:szCs w:val="36"/>
          <w:lang w:val="en-US"/>
        </w:rPr>
        <w:t xml:space="preserve"> et al. (2012), ANA (2012) and Rau et al. (2017b)) for the discrete sampled Peruvian rivers. Water levels were collected daily or twice daily using a conventional hydrological method. At the monitoring stations, gauging was accomplished using a current mechanical meter in Peru and a 1200 kHz Acoustic Doppler Current Proﬁler (ADCP) in Ecuador. The daily discharge record was then calculated from rating curves (using the discharge - water level relationship) using the </w:t>
      </w:r>
      <w:proofErr w:type="spellStart"/>
      <w:r w:rsidRPr="000727F8">
        <w:rPr>
          <w:rFonts w:ascii="Times New Roman" w:hAnsi="Times New Roman" w:cs="Times New Roman"/>
          <w:color w:val="000000"/>
          <w:szCs w:val="36"/>
          <w:lang w:val="en-US"/>
        </w:rPr>
        <w:t>Hydraccess</w:t>
      </w:r>
      <w:proofErr w:type="spellEnd"/>
      <w:r w:rsidRPr="000727F8">
        <w:rPr>
          <w:rFonts w:ascii="Times New Roman" w:hAnsi="Times New Roman" w:cs="Times New Roman"/>
          <w:color w:val="000000"/>
          <w:szCs w:val="36"/>
          <w:lang w:val="en-US"/>
        </w:rPr>
        <w:t xml:space="preserve"> software (</w:t>
      </w:r>
      <w:proofErr w:type="spellStart"/>
      <w:r w:rsidRPr="000727F8">
        <w:rPr>
          <w:rFonts w:ascii="Times New Roman" w:hAnsi="Times New Roman" w:cs="Times New Roman"/>
          <w:color w:val="000000"/>
          <w:szCs w:val="36"/>
          <w:lang w:val="en-US"/>
        </w:rPr>
        <w:t>Vauchel</w:t>
      </w:r>
      <w:proofErr w:type="spellEnd"/>
      <w:r w:rsidRPr="000727F8">
        <w:rPr>
          <w:rFonts w:ascii="Times New Roman" w:hAnsi="Times New Roman" w:cs="Times New Roman"/>
          <w:color w:val="000000"/>
          <w:szCs w:val="36"/>
          <w:lang w:val="en-US"/>
        </w:rPr>
        <w:t>, 2005)</w:t>
      </w:r>
      <w:r w:rsidRPr="000727F8">
        <w:rPr>
          <w:lang w:val="en-US"/>
        </w:rPr>
        <w:t xml:space="preserve">. </w:t>
      </w:r>
    </w:p>
    <w:p w:rsidR="00076B0B" w:rsidRPr="000727F8" w:rsidRDefault="00076B0B" w:rsidP="00076B0B">
      <w:pPr>
        <w:ind w:firstLine="708"/>
        <w:jc w:val="both"/>
        <w:rPr>
          <w:lang w:val="en-US"/>
        </w:rPr>
      </w:pPr>
    </w:p>
    <w:p w:rsidR="00076B0B" w:rsidRPr="000727F8" w:rsidRDefault="00076B0B" w:rsidP="00076B0B">
      <w:pPr>
        <w:rPr>
          <w:rFonts w:ascii="Times New Roman" w:hAnsi="Times New Roman" w:cs="Times New Roman"/>
          <w:i/>
          <w:color w:val="000000"/>
          <w:sz w:val="24"/>
          <w:szCs w:val="36"/>
          <w:lang w:val="en-US"/>
        </w:rPr>
      </w:pPr>
      <w:r w:rsidRPr="000727F8">
        <w:rPr>
          <w:rFonts w:ascii="Times New Roman" w:hAnsi="Times New Roman" w:cs="Times New Roman"/>
          <w:i/>
          <w:color w:val="000000"/>
          <w:sz w:val="24"/>
          <w:szCs w:val="36"/>
          <w:lang w:val="en-US"/>
        </w:rPr>
        <w:t xml:space="preserve">Hydrochemistry </w:t>
      </w:r>
    </w:p>
    <w:p w:rsidR="00076B0B" w:rsidRPr="000727F8" w:rsidRDefault="00D80C20" w:rsidP="00076B0B">
      <w:pPr>
        <w:ind w:firstLine="708"/>
        <w:jc w:val="both"/>
        <w:rPr>
          <w:rFonts w:ascii="Times New Roman" w:hAnsi="Times New Roman" w:cs="Times New Roman"/>
          <w:color w:val="000000"/>
          <w:sz w:val="24"/>
          <w:szCs w:val="36"/>
          <w:lang w:val="en-CA"/>
        </w:rPr>
      </w:pPr>
      <w:r w:rsidRPr="000727F8">
        <w:rPr>
          <w:rFonts w:ascii="Times New Roman" w:hAnsi="Times New Roman" w:cs="Times New Roman"/>
          <w:sz w:val="24"/>
          <w:szCs w:val="36"/>
          <w:lang w:val="en-US"/>
        </w:rPr>
        <w:t>Conductivity</w:t>
      </w:r>
      <w:r w:rsidRPr="000727F8">
        <w:rPr>
          <w:rFonts w:ascii="Times New Roman" w:hAnsi="Times New Roman" w:cs="Times New Roman"/>
          <w:sz w:val="24"/>
          <w:lang w:val="en-US"/>
        </w:rPr>
        <w:t xml:space="preserve"> and pH were generally measured every 10 days at the 5 HYBAM monitoring stations. At these stations, a sample of 650 ml was collected monthly </w:t>
      </w:r>
      <w:r w:rsidRPr="000727F8">
        <w:rPr>
          <w:rFonts w:ascii="Times New Roman" w:hAnsi="Times New Roman" w:cs="Times New Roman"/>
          <w:color w:val="000000"/>
          <w:sz w:val="24"/>
          <w:szCs w:val="24"/>
          <w:lang w:val="en-US"/>
        </w:rPr>
        <w:t xml:space="preserve">for 4 to 10 years, depending on the monitoring station. These samples were </w:t>
      </w:r>
      <w:r w:rsidRPr="000727F8">
        <w:rPr>
          <w:rFonts w:ascii="Times New Roman" w:hAnsi="Times New Roman" w:cs="Times New Roman"/>
          <w:color w:val="000000"/>
          <w:sz w:val="24"/>
          <w:szCs w:val="36"/>
          <w:lang w:val="en-US"/>
        </w:rPr>
        <w:t>filtered</w:t>
      </w:r>
      <w:r w:rsidRPr="000727F8">
        <w:rPr>
          <w:rFonts w:ascii="Times New Roman" w:hAnsi="Times New Roman" w:cs="Times New Roman"/>
          <w:sz w:val="24"/>
          <w:lang w:val="en-US"/>
        </w:rPr>
        <w:t xml:space="preserve"> on site using a 0.2 µm porosity filter. At the 23 stations, 650 ml of discrete surface water samples were filtered with a 0.45 µm porosity filter. Major element concentrations </w:t>
      </w:r>
      <w:r w:rsidR="00076B0B" w:rsidRPr="000727F8">
        <w:rPr>
          <w:rFonts w:ascii="Times New Roman" w:hAnsi="Times New Roman" w:cs="Times New Roman"/>
          <w:sz w:val="24"/>
          <w:lang w:val="en-CA"/>
        </w:rPr>
        <w:t>(Ca</w:t>
      </w:r>
      <w:r w:rsidR="00076B0B" w:rsidRPr="000727F8">
        <w:rPr>
          <w:rFonts w:ascii="Times New Roman" w:hAnsi="Times New Roman" w:cs="Times New Roman"/>
          <w:sz w:val="24"/>
          <w:vertAlign w:val="superscript"/>
          <w:lang w:val="en-CA"/>
        </w:rPr>
        <w:t>2+</w:t>
      </w:r>
      <w:r w:rsidR="00076B0B" w:rsidRPr="000727F8">
        <w:rPr>
          <w:rFonts w:ascii="Times New Roman" w:hAnsi="Times New Roman" w:cs="Times New Roman"/>
          <w:sz w:val="24"/>
          <w:lang w:val="en-CA"/>
        </w:rPr>
        <w:t>, Mg</w:t>
      </w:r>
      <w:r w:rsidR="00076B0B" w:rsidRPr="000727F8">
        <w:rPr>
          <w:rFonts w:ascii="Times New Roman" w:hAnsi="Times New Roman" w:cs="Times New Roman"/>
          <w:sz w:val="24"/>
          <w:vertAlign w:val="superscript"/>
          <w:lang w:val="en-CA"/>
        </w:rPr>
        <w:t>2+</w:t>
      </w:r>
      <w:r w:rsidR="00076B0B" w:rsidRPr="000727F8">
        <w:rPr>
          <w:rFonts w:ascii="Times New Roman" w:hAnsi="Times New Roman" w:cs="Times New Roman"/>
          <w:sz w:val="24"/>
          <w:lang w:val="en-CA"/>
        </w:rPr>
        <w:t>, Na</w:t>
      </w:r>
      <w:r w:rsidR="00076B0B" w:rsidRPr="000727F8">
        <w:rPr>
          <w:rFonts w:ascii="Times New Roman" w:hAnsi="Times New Roman" w:cs="Times New Roman"/>
          <w:sz w:val="24"/>
          <w:vertAlign w:val="superscript"/>
          <w:lang w:val="en-CA"/>
        </w:rPr>
        <w:t>+</w:t>
      </w:r>
      <w:r w:rsidR="00076B0B" w:rsidRPr="000727F8">
        <w:rPr>
          <w:rFonts w:ascii="Times New Roman" w:hAnsi="Times New Roman" w:cs="Times New Roman"/>
          <w:sz w:val="24"/>
          <w:lang w:val="en-CA"/>
        </w:rPr>
        <w:t>, K</w:t>
      </w:r>
      <w:r w:rsidR="00076B0B" w:rsidRPr="000727F8">
        <w:rPr>
          <w:rFonts w:ascii="Times New Roman" w:hAnsi="Times New Roman" w:cs="Times New Roman"/>
          <w:sz w:val="24"/>
          <w:vertAlign w:val="superscript"/>
          <w:lang w:val="en-CA"/>
        </w:rPr>
        <w:t>+</w:t>
      </w:r>
      <w:r w:rsidR="00076B0B" w:rsidRPr="000727F8">
        <w:rPr>
          <w:rFonts w:ascii="Times New Roman" w:hAnsi="Times New Roman" w:cs="Times New Roman"/>
          <w:sz w:val="24"/>
          <w:lang w:val="en-CA"/>
        </w:rPr>
        <w:t>, Cl</w:t>
      </w:r>
      <w:r w:rsidR="00076B0B" w:rsidRPr="000727F8">
        <w:rPr>
          <w:rFonts w:ascii="Times New Roman" w:hAnsi="Times New Roman" w:cs="Times New Roman"/>
          <w:sz w:val="24"/>
          <w:vertAlign w:val="superscript"/>
          <w:lang w:val="en-CA"/>
        </w:rPr>
        <w:t>-</w:t>
      </w:r>
      <w:r w:rsidR="00076B0B" w:rsidRPr="000727F8">
        <w:rPr>
          <w:rFonts w:ascii="Times New Roman" w:hAnsi="Times New Roman" w:cs="Times New Roman"/>
          <w:sz w:val="24"/>
          <w:lang w:val="en-CA"/>
        </w:rPr>
        <w:t>, SO</w:t>
      </w:r>
      <w:r w:rsidR="00076B0B" w:rsidRPr="000727F8">
        <w:rPr>
          <w:rFonts w:ascii="Times New Roman" w:hAnsi="Times New Roman" w:cs="Times New Roman"/>
          <w:sz w:val="24"/>
          <w:vertAlign w:val="subscript"/>
          <w:lang w:val="en-CA"/>
        </w:rPr>
        <w:t>4</w:t>
      </w:r>
      <w:r w:rsidR="00076B0B" w:rsidRPr="000727F8">
        <w:rPr>
          <w:rFonts w:ascii="Times New Roman" w:hAnsi="Times New Roman" w:cs="Times New Roman"/>
          <w:sz w:val="24"/>
          <w:vertAlign w:val="superscript"/>
          <w:lang w:val="en-CA"/>
        </w:rPr>
        <w:t>2-</w:t>
      </w:r>
      <w:r w:rsidR="00076B0B" w:rsidRPr="000727F8">
        <w:rPr>
          <w:rFonts w:ascii="Times New Roman" w:hAnsi="Times New Roman" w:cs="Times New Roman"/>
          <w:sz w:val="24"/>
          <w:lang w:val="en-CA"/>
        </w:rPr>
        <w:t>, HCO</w:t>
      </w:r>
      <w:r w:rsidR="00076B0B" w:rsidRPr="000727F8">
        <w:rPr>
          <w:rFonts w:ascii="Times New Roman" w:hAnsi="Times New Roman" w:cs="Times New Roman"/>
          <w:sz w:val="24"/>
          <w:vertAlign w:val="subscript"/>
          <w:lang w:val="en-CA"/>
        </w:rPr>
        <w:t>3</w:t>
      </w:r>
      <w:r w:rsidR="00076B0B" w:rsidRPr="000727F8">
        <w:rPr>
          <w:rFonts w:ascii="Times New Roman" w:hAnsi="Times New Roman" w:cs="Times New Roman"/>
          <w:sz w:val="24"/>
          <w:vertAlign w:val="superscript"/>
          <w:lang w:val="en-CA"/>
        </w:rPr>
        <w:t>-</w:t>
      </w:r>
      <w:r w:rsidR="00076B0B" w:rsidRPr="000727F8">
        <w:rPr>
          <w:rFonts w:ascii="Times New Roman" w:hAnsi="Times New Roman" w:cs="Times New Roman"/>
          <w:sz w:val="24"/>
          <w:lang w:val="en-CA"/>
        </w:rPr>
        <w:t xml:space="preserve"> and Si) were determined at the GET laboratory (</w:t>
      </w:r>
      <w:proofErr w:type="spellStart"/>
      <w:r w:rsidR="00076B0B" w:rsidRPr="000727F8">
        <w:rPr>
          <w:rFonts w:ascii="Times New Roman" w:hAnsi="Times New Roman" w:cs="Times New Roman"/>
          <w:sz w:val="24"/>
          <w:lang w:val="en-CA"/>
        </w:rPr>
        <w:t>Géoscience</w:t>
      </w:r>
      <w:proofErr w:type="spellEnd"/>
      <w:r w:rsidR="00076B0B" w:rsidRPr="000727F8">
        <w:rPr>
          <w:rFonts w:ascii="Times New Roman" w:hAnsi="Times New Roman" w:cs="Times New Roman"/>
          <w:sz w:val="24"/>
          <w:lang w:val="en-CA"/>
        </w:rPr>
        <w:t xml:space="preserve"> </w:t>
      </w:r>
      <w:proofErr w:type="spellStart"/>
      <w:r w:rsidR="00076B0B" w:rsidRPr="000727F8">
        <w:rPr>
          <w:rFonts w:ascii="Times New Roman" w:hAnsi="Times New Roman" w:cs="Times New Roman"/>
          <w:sz w:val="24"/>
          <w:lang w:val="en-CA"/>
        </w:rPr>
        <w:t>Environnement</w:t>
      </w:r>
      <w:proofErr w:type="spellEnd"/>
      <w:r w:rsidR="00076B0B" w:rsidRPr="000727F8">
        <w:rPr>
          <w:rFonts w:ascii="Times New Roman" w:hAnsi="Times New Roman" w:cs="Times New Roman"/>
          <w:sz w:val="24"/>
          <w:lang w:val="en-CA"/>
        </w:rPr>
        <w:t xml:space="preserve"> Toulouse, France). Cl</w:t>
      </w:r>
      <w:r w:rsidR="00076B0B" w:rsidRPr="000727F8">
        <w:rPr>
          <w:rFonts w:ascii="Times New Roman" w:hAnsi="Times New Roman" w:cs="Times New Roman"/>
          <w:sz w:val="24"/>
          <w:vertAlign w:val="superscript"/>
          <w:lang w:val="en-CA"/>
        </w:rPr>
        <w:t>-</w:t>
      </w:r>
      <w:r w:rsidR="00076B0B" w:rsidRPr="000727F8">
        <w:rPr>
          <w:rFonts w:ascii="Times New Roman" w:hAnsi="Times New Roman" w:cs="Times New Roman"/>
          <w:sz w:val="24"/>
          <w:lang w:val="en-CA"/>
        </w:rPr>
        <w:t xml:space="preserve"> and SO</w:t>
      </w:r>
      <w:r w:rsidR="00076B0B" w:rsidRPr="000727F8">
        <w:rPr>
          <w:rFonts w:ascii="Times New Roman" w:hAnsi="Times New Roman" w:cs="Times New Roman"/>
          <w:sz w:val="24"/>
          <w:vertAlign w:val="subscript"/>
          <w:lang w:val="en-CA"/>
        </w:rPr>
        <w:t>4</w:t>
      </w:r>
      <w:r w:rsidR="00076B0B" w:rsidRPr="000727F8">
        <w:rPr>
          <w:rFonts w:ascii="Times New Roman" w:hAnsi="Times New Roman" w:cs="Times New Roman"/>
          <w:sz w:val="24"/>
          <w:vertAlign w:val="superscript"/>
          <w:lang w:val="en-CA"/>
        </w:rPr>
        <w:t>2-</w:t>
      </w:r>
      <w:r w:rsidR="00076B0B" w:rsidRPr="000727F8">
        <w:rPr>
          <w:rFonts w:ascii="Times New Roman" w:hAnsi="Times New Roman" w:cs="Times New Roman"/>
          <w:sz w:val="24"/>
          <w:lang w:val="en-CA"/>
        </w:rPr>
        <w:t xml:space="preserve"> concentrations were measured by ion chromatography, and Na</w:t>
      </w:r>
      <w:r w:rsidR="00076B0B" w:rsidRPr="000727F8">
        <w:rPr>
          <w:rFonts w:ascii="Times New Roman" w:hAnsi="Times New Roman" w:cs="Times New Roman"/>
          <w:sz w:val="24"/>
          <w:vertAlign w:val="superscript"/>
          <w:lang w:val="en-CA"/>
        </w:rPr>
        <w:t>+</w:t>
      </w:r>
      <w:r w:rsidR="00076B0B" w:rsidRPr="000727F8">
        <w:rPr>
          <w:rFonts w:ascii="Times New Roman" w:hAnsi="Times New Roman" w:cs="Times New Roman"/>
          <w:sz w:val="24"/>
          <w:lang w:val="en-CA"/>
        </w:rPr>
        <w:t>, Ca</w:t>
      </w:r>
      <w:r w:rsidR="00076B0B" w:rsidRPr="000727F8">
        <w:rPr>
          <w:rFonts w:ascii="Times New Roman" w:hAnsi="Times New Roman" w:cs="Times New Roman"/>
          <w:sz w:val="24"/>
          <w:vertAlign w:val="superscript"/>
          <w:lang w:val="en-CA"/>
        </w:rPr>
        <w:t>2+</w:t>
      </w:r>
      <w:r w:rsidR="00076B0B" w:rsidRPr="000727F8">
        <w:rPr>
          <w:rFonts w:ascii="Times New Roman" w:hAnsi="Times New Roman" w:cs="Times New Roman"/>
          <w:sz w:val="24"/>
          <w:lang w:val="en-CA"/>
        </w:rPr>
        <w:t>, Mg</w:t>
      </w:r>
      <w:r w:rsidR="00076B0B" w:rsidRPr="000727F8">
        <w:rPr>
          <w:rFonts w:ascii="Times New Roman" w:hAnsi="Times New Roman" w:cs="Times New Roman"/>
          <w:sz w:val="24"/>
          <w:vertAlign w:val="superscript"/>
          <w:lang w:val="en-CA"/>
        </w:rPr>
        <w:t>2+</w:t>
      </w:r>
      <w:r w:rsidR="00076B0B" w:rsidRPr="000727F8">
        <w:rPr>
          <w:rFonts w:ascii="Times New Roman" w:hAnsi="Times New Roman" w:cs="Times New Roman"/>
          <w:sz w:val="24"/>
          <w:lang w:val="en-CA"/>
        </w:rPr>
        <w:t>, K</w:t>
      </w:r>
      <w:r w:rsidR="00076B0B" w:rsidRPr="000727F8">
        <w:rPr>
          <w:rFonts w:ascii="Times New Roman" w:hAnsi="Times New Roman" w:cs="Times New Roman"/>
          <w:sz w:val="24"/>
          <w:vertAlign w:val="superscript"/>
          <w:lang w:val="en-CA"/>
        </w:rPr>
        <w:t>+</w:t>
      </w:r>
      <w:r w:rsidR="00076B0B" w:rsidRPr="000727F8">
        <w:rPr>
          <w:rFonts w:ascii="Times New Roman" w:hAnsi="Times New Roman" w:cs="Times New Roman"/>
          <w:sz w:val="24"/>
          <w:lang w:val="en-CA"/>
        </w:rPr>
        <w:t xml:space="preserve"> and Si were analy</w:t>
      </w:r>
      <w:r w:rsidRPr="000727F8">
        <w:rPr>
          <w:rFonts w:ascii="Times New Roman" w:hAnsi="Times New Roman" w:cs="Times New Roman"/>
          <w:sz w:val="24"/>
          <w:lang w:val="en-CA"/>
        </w:rPr>
        <w:t>z</w:t>
      </w:r>
      <w:r w:rsidR="00076B0B" w:rsidRPr="000727F8">
        <w:rPr>
          <w:rFonts w:ascii="Times New Roman" w:hAnsi="Times New Roman" w:cs="Times New Roman"/>
          <w:sz w:val="24"/>
          <w:lang w:val="en-CA"/>
        </w:rPr>
        <w:t>ed by ICP-AES (Inductively Coupled Plasma-Atomic Emission Spectroscopy). Alkalinity was determined by acid titration. The TDS concentration corresponds to the sum of the cations (Ca</w:t>
      </w:r>
      <w:r w:rsidR="00076B0B" w:rsidRPr="000727F8">
        <w:rPr>
          <w:rFonts w:ascii="Times New Roman" w:hAnsi="Times New Roman" w:cs="Times New Roman"/>
          <w:sz w:val="24"/>
          <w:vertAlign w:val="superscript"/>
          <w:lang w:val="en-CA"/>
        </w:rPr>
        <w:t>2+</w:t>
      </w:r>
      <w:r w:rsidR="00076B0B" w:rsidRPr="000727F8">
        <w:rPr>
          <w:rFonts w:ascii="Times New Roman" w:hAnsi="Times New Roman" w:cs="Times New Roman"/>
          <w:sz w:val="24"/>
          <w:lang w:val="en-CA"/>
        </w:rPr>
        <w:t>, Mg</w:t>
      </w:r>
      <w:r w:rsidR="00076B0B" w:rsidRPr="000727F8">
        <w:rPr>
          <w:rFonts w:ascii="Times New Roman" w:hAnsi="Times New Roman" w:cs="Times New Roman"/>
          <w:sz w:val="24"/>
          <w:vertAlign w:val="superscript"/>
          <w:lang w:val="en-CA"/>
        </w:rPr>
        <w:t>2+</w:t>
      </w:r>
      <w:r w:rsidR="00076B0B" w:rsidRPr="000727F8">
        <w:rPr>
          <w:rFonts w:ascii="Times New Roman" w:hAnsi="Times New Roman" w:cs="Times New Roman"/>
          <w:sz w:val="24"/>
          <w:lang w:val="en-CA"/>
        </w:rPr>
        <w:t>, Na</w:t>
      </w:r>
      <w:r w:rsidR="00076B0B" w:rsidRPr="000727F8">
        <w:rPr>
          <w:rFonts w:ascii="Times New Roman" w:hAnsi="Times New Roman" w:cs="Times New Roman"/>
          <w:sz w:val="24"/>
          <w:vertAlign w:val="superscript"/>
          <w:lang w:val="en-CA"/>
        </w:rPr>
        <w:t>+</w:t>
      </w:r>
      <w:r w:rsidR="00076B0B" w:rsidRPr="000727F8">
        <w:rPr>
          <w:rFonts w:ascii="Times New Roman" w:hAnsi="Times New Roman" w:cs="Times New Roman"/>
          <w:sz w:val="24"/>
          <w:lang w:val="en-CA"/>
        </w:rPr>
        <w:t xml:space="preserve"> and K</w:t>
      </w:r>
      <w:r w:rsidR="00076B0B" w:rsidRPr="000727F8">
        <w:rPr>
          <w:rFonts w:ascii="Times New Roman" w:hAnsi="Times New Roman" w:cs="Times New Roman"/>
          <w:sz w:val="24"/>
          <w:vertAlign w:val="superscript"/>
          <w:lang w:val="en-CA"/>
        </w:rPr>
        <w:t>+</w:t>
      </w:r>
      <w:r w:rsidR="00076B0B" w:rsidRPr="000727F8">
        <w:rPr>
          <w:rFonts w:ascii="Times New Roman" w:hAnsi="Times New Roman" w:cs="Times New Roman"/>
          <w:sz w:val="24"/>
          <w:lang w:val="en-CA"/>
        </w:rPr>
        <w:t>), the anions (HCO</w:t>
      </w:r>
      <w:r w:rsidR="00076B0B" w:rsidRPr="000727F8">
        <w:rPr>
          <w:rFonts w:ascii="Times New Roman" w:hAnsi="Times New Roman" w:cs="Times New Roman"/>
          <w:sz w:val="24"/>
          <w:vertAlign w:val="subscript"/>
          <w:lang w:val="en-CA"/>
        </w:rPr>
        <w:t>3</w:t>
      </w:r>
      <w:r w:rsidR="00076B0B" w:rsidRPr="000727F8">
        <w:rPr>
          <w:rFonts w:ascii="Times New Roman" w:hAnsi="Times New Roman" w:cs="Times New Roman"/>
          <w:sz w:val="24"/>
          <w:vertAlign w:val="superscript"/>
          <w:lang w:val="en-CA"/>
        </w:rPr>
        <w:t>-</w:t>
      </w:r>
      <w:r w:rsidR="00076B0B" w:rsidRPr="000727F8">
        <w:rPr>
          <w:rFonts w:ascii="Times New Roman" w:hAnsi="Times New Roman" w:cs="Times New Roman"/>
          <w:sz w:val="24"/>
          <w:lang w:val="en-CA"/>
        </w:rPr>
        <w:t>, SO</w:t>
      </w:r>
      <w:r w:rsidR="00076B0B" w:rsidRPr="000727F8">
        <w:rPr>
          <w:rFonts w:ascii="Times New Roman" w:hAnsi="Times New Roman" w:cs="Times New Roman"/>
          <w:sz w:val="24"/>
          <w:vertAlign w:val="subscript"/>
          <w:lang w:val="en-CA"/>
        </w:rPr>
        <w:t>4</w:t>
      </w:r>
      <w:r w:rsidR="00076B0B" w:rsidRPr="000727F8">
        <w:rPr>
          <w:rFonts w:ascii="Times New Roman" w:hAnsi="Times New Roman" w:cs="Times New Roman"/>
          <w:sz w:val="24"/>
          <w:vertAlign w:val="superscript"/>
          <w:lang w:val="en-CA"/>
        </w:rPr>
        <w:t>2-</w:t>
      </w:r>
      <w:r w:rsidR="00076B0B" w:rsidRPr="000727F8">
        <w:rPr>
          <w:rFonts w:ascii="Times New Roman" w:hAnsi="Times New Roman" w:cs="Times New Roman"/>
          <w:sz w:val="24"/>
          <w:lang w:val="en-CA"/>
        </w:rPr>
        <w:t xml:space="preserve"> and Cl</w:t>
      </w:r>
      <w:r w:rsidR="00076B0B" w:rsidRPr="000727F8">
        <w:rPr>
          <w:rFonts w:ascii="Times New Roman" w:hAnsi="Times New Roman" w:cs="Times New Roman"/>
          <w:sz w:val="24"/>
          <w:vertAlign w:val="superscript"/>
          <w:lang w:val="en-CA"/>
        </w:rPr>
        <w:t>-</w:t>
      </w:r>
      <w:r w:rsidR="00076B0B" w:rsidRPr="000727F8">
        <w:rPr>
          <w:rFonts w:ascii="Times New Roman" w:hAnsi="Times New Roman" w:cs="Times New Roman"/>
          <w:sz w:val="24"/>
          <w:lang w:val="en-CA"/>
        </w:rPr>
        <w:t>) and SiO</w:t>
      </w:r>
      <w:r w:rsidR="00076B0B" w:rsidRPr="000727F8">
        <w:rPr>
          <w:rFonts w:ascii="Times New Roman" w:hAnsi="Times New Roman" w:cs="Times New Roman"/>
          <w:sz w:val="24"/>
          <w:vertAlign w:val="subscript"/>
          <w:lang w:val="en-CA"/>
        </w:rPr>
        <w:t>2</w:t>
      </w:r>
      <w:r w:rsidR="00076B0B" w:rsidRPr="000727F8">
        <w:rPr>
          <w:rFonts w:ascii="Times New Roman" w:hAnsi="Times New Roman" w:cs="Times New Roman"/>
          <w:sz w:val="24"/>
          <w:lang w:val="en-CA"/>
        </w:rPr>
        <w:t xml:space="preserve"> concentrations, all expressed in mg.L</w:t>
      </w:r>
      <w:r w:rsidR="00076B0B" w:rsidRPr="000727F8">
        <w:rPr>
          <w:rFonts w:ascii="Times New Roman" w:hAnsi="Times New Roman" w:cs="Times New Roman"/>
          <w:sz w:val="24"/>
          <w:vertAlign w:val="superscript"/>
          <w:lang w:val="en-CA"/>
        </w:rPr>
        <w:t>-1</w:t>
      </w:r>
      <w:r w:rsidR="00076B0B" w:rsidRPr="000727F8">
        <w:rPr>
          <w:rFonts w:ascii="Times New Roman" w:hAnsi="Times New Roman" w:cs="Times New Roman"/>
          <w:sz w:val="24"/>
          <w:lang w:val="en-CA"/>
        </w:rPr>
        <w:t xml:space="preserve">. Data </w:t>
      </w:r>
      <w:r w:rsidRPr="000727F8">
        <w:rPr>
          <w:rFonts w:ascii="Times New Roman" w:hAnsi="Times New Roman" w:cs="Times New Roman"/>
          <w:sz w:val="24"/>
          <w:lang w:val="en-CA"/>
        </w:rPr>
        <w:t>are</w:t>
      </w:r>
      <w:r w:rsidR="00076B0B" w:rsidRPr="000727F8">
        <w:rPr>
          <w:rFonts w:ascii="Times New Roman" w:hAnsi="Times New Roman" w:cs="Times New Roman"/>
          <w:sz w:val="24"/>
          <w:lang w:val="en-CA"/>
        </w:rPr>
        <w:t xml:space="preserve"> reported in </w:t>
      </w:r>
      <w:r w:rsidRPr="000727F8">
        <w:rPr>
          <w:rFonts w:ascii="Times New Roman" w:hAnsi="Times New Roman" w:cs="Times New Roman"/>
          <w:sz w:val="24"/>
          <w:lang w:val="en-CA"/>
        </w:rPr>
        <w:t>T</w:t>
      </w:r>
      <w:r w:rsidR="00076B0B" w:rsidRPr="000727F8">
        <w:rPr>
          <w:rFonts w:ascii="Times New Roman" w:hAnsi="Times New Roman" w:cs="Times New Roman"/>
          <w:sz w:val="24"/>
          <w:lang w:val="en-CA"/>
        </w:rPr>
        <w:t xml:space="preserve">able </w:t>
      </w:r>
      <w:r w:rsidR="006B5F98" w:rsidRPr="000727F8">
        <w:rPr>
          <w:rFonts w:ascii="Times New Roman" w:hAnsi="Times New Roman" w:cs="Times New Roman"/>
          <w:sz w:val="24"/>
          <w:lang w:val="en-CA"/>
        </w:rPr>
        <w:t>S3</w:t>
      </w:r>
      <w:r w:rsidR="00076B0B" w:rsidRPr="000727F8">
        <w:rPr>
          <w:rFonts w:ascii="Times New Roman" w:hAnsi="Times New Roman" w:cs="Times New Roman"/>
          <w:sz w:val="24"/>
          <w:lang w:val="en-CA"/>
        </w:rPr>
        <w:t xml:space="preserve">. Based on the analyses of </w:t>
      </w:r>
      <w:proofErr w:type="spellStart"/>
      <w:r w:rsidR="00076B0B" w:rsidRPr="000727F8">
        <w:rPr>
          <w:rFonts w:ascii="Times New Roman" w:hAnsi="Times New Roman" w:cs="Times New Roman"/>
          <w:sz w:val="24"/>
          <w:lang w:val="en-CA"/>
        </w:rPr>
        <w:t>geostandards</w:t>
      </w:r>
      <w:proofErr w:type="spellEnd"/>
      <w:r w:rsidR="00076B0B" w:rsidRPr="000727F8">
        <w:rPr>
          <w:rFonts w:ascii="Times New Roman" w:hAnsi="Times New Roman" w:cs="Times New Roman"/>
          <w:sz w:val="24"/>
          <w:lang w:val="en-CA"/>
        </w:rPr>
        <w:t xml:space="preserve">, the analytical error </w:t>
      </w:r>
      <w:r w:rsidRPr="000727F8">
        <w:rPr>
          <w:rFonts w:ascii="Times New Roman" w:hAnsi="Times New Roman" w:cs="Times New Roman"/>
          <w:sz w:val="24"/>
          <w:lang w:val="en-CA"/>
        </w:rPr>
        <w:t>was</w:t>
      </w:r>
      <w:r w:rsidR="00076B0B" w:rsidRPr="000727F8">
        <w:rPr>
          <w:rFonts w:ascii="Times New Roman" w:hAnsi="Times New Roman" w:cs="Times New Roman"/>
          <w:sz w:val="24"/>
          <w:lang w:val="en-CA"/>
        </w:rPr>
        <w:t xml:space="preserve"> less than 10% for both sampling periods. </w:t>
      </w:r>
      <w:r w:rsidR="00076B0B" w:rsidRPr="000727F8">
        <w:rPr>
          <w:rFonts w:ascii="Times New Roman" w:hAnsi="Times New Roman" w:cs="Times New Roman"/>
          <w:color w:val="000000"/>
          <w:sz w:val="24"/>
          <w:szCs w:val="36"/>
          <w:lang w:val="en-CA"/>
        </w:rPr>
        <w:t>At the gauging station the charge imbalance (NICB = TZ</w:t>
      </w:r>
      <w:r w:rsidR="00076B0B" w:rsidRPr="000727F8">
        <w:rPr>
          <w:rFonts w:ascii="Times New Roman" w:hAnsi="Times New Roman" w:cs="Times New Roman"/>
          <w:color w:val="000000"/>
          <w:sz w:val="24"/>
          <w:szCs w:val="36"/>
          <w:vertAlign w:val="superscript"/>
          <w:lang w:val="en-CA"/>
        </w:rPr>
        <w:t>-</w:t>
      </w:r>
      <w:r w:rsidR="00076B0B" w:rsidRPr="000727F8">
        <w:rPr>
          <w:rFonts w:ascii="Times New Roman" w:hAnsi="Times New Roman" w:cs="Times New Roman"/>
          <w:color w:val="000000"/>
          <w:sz w:val="24"/>
          <w:szCs w:val="36"/>
          <w:lang w:val="en-CA"/>
        </w:rPr>
        <w:t xml:space="preserve"> - TZ</w:t>
      </w:r>
      <w:r w:rsidR="00076B0B" w:rsidRPr="000727F8">
        <w:rPr>
          <w:rFonts w:ascii="Times New Roman" w:hAnsi="Times New Roman" w:cs="Times New Roman"/>
          <w:color w:val="000000"/>
          <w:sz w:val="24"/>
          <w:szCs w:val="36"/>
          <w:vertAlign w:val="superscript"/>
          <w:lang w:val="en-CA"/>
        </w:rPr>
        <w:t>+</w:t>
      </w:r>
      <w:r w:rsidR="00076B0B" w:rsidRPr="000727F8">
        <w:rPr>
          <w:rFonts w:ascii="Times New Roman" w:hAnsi="Times New Roman" w:cs="Times New Roman"/>
          <w:color w:val="000000"/>
          <w:sz w:val="24"/>
          <w:szCs w:val="36"/>
          <w:lang w:val="en-CA"/>
        </w:rPr>
        <w:t xml:space="preserve"> / TZ</w:t>
      </w:r>
      <w:r w:rsidR="00076B0B" w:rsidRPr="000727F8">
        <w:rPr>
          <w:rFonts w:ascii="Times New Roman" w:hAnsi="Times New Roman" w:cs="Times New Roman"/>
          <w:color w:val="000000"/>
          <w:sz w:val="24"/>
          <w:szCs w:val="36"/>
          <w:vertAlign w:val="superscript"/>
          <w:lang w:val="en-CA"/>
        </w:rPr>
        <w:t>-</w:t>
      </w:r>
      <w:r w:rsidR="00076B0B" w:rsidRPr="000727F8">
        <w:rPr>
          <w:rFonts w:ascii="Times New Roman" w:hAnsi="Times New Roman" w:cs="Times New Roman"/>
          <w:color w:val="000000"/>
          <w:sz w:val="24"/>
          <w:szCs w:val="36"/>
          <w:lang w:val="en-CA"/>
        </w:rPr>
        <w:t>+TZ</w:t>
      </w:r>
      <w:r w:rsidR="00076B0B" w:rsidRPr="000727F8">
        <w:rPr>
          <w:rFonts w:ascii="Times New Roman" w:hAnsi="Times New Roman" w:cs="Times New Roman"/>
          <w:color w:val="000000"/>
          <w:sz w:val="24"/>
          <w:szCs w:val="36"/>
          <w:vertAlign w:val="superscript"/>
          <w:lang w:val="en-CA"/>
        </w:rPr>
        <w:t>+</w:t>
      </w:r>
      <w:r w:rsidR="00076B0B" w:rsidRPr="000727F8">
        <w:rPr>
          <w:rFonts w:ascii="Times New Roman" w:hAnsi="Times New Roman" w:cs="Times New Roman"/>
          <w:color w:val="000000"/>
          <w:sz w:val="24"/>
          <w:szCs w:val="36"/>
          <w:lang w:val="en-CA"/>
        </w:rPr>
        <w:t xml:space="preserve"> *100) </w:t>
      </w:r>
      <w:r w:rsidRPr="000727F8">
        <w:rPr>
          <w:rFonts w:ascii="Times New Roman" w:hAnsi="Times New Roman" w:cs="Times New Roman"/>
          <w:color w:val="000000"/>
          <w:sz w:val="24"/>
          <w:szCs w:val="36"/>
          <w:lang w:val="en-CA"/>
        </w:rPr>
        <w:t>was</w:t>
      </w:r>
      <w:r w:rsidR="00076B0B" w:rsidRPr="000727F8">
        <w:rPr>
          <w:rFonts w:ascii="Times New Roman" w:hAnsi="Times New Roman" w:cs="Times New Roman"/>
          <w:color w:val="000000"/>
          <w:sz w:val="24"/>
          <w:szCs w:val="36"/>
          <w:lang w:val="en-CA"/>
        </w:rPr>
        <w:t xml:space="preserve"> &lt; to 5% at the monitor</w:t>
      </w:r>
      <w:r w:rsidRPr="000727F8">
        <w:rPr>
          <w:rFonts w:ascii="Times New Roman" w:hAnsi="Times New Roman" w:cs="Times New Roman"/>
          <w:color w:val="000000"/>
          <w:sz w:val="24"/>
          <w:szCs w:val="36"/>
          <w:lang w:val="en-CA"/>
        </w:rPr>
        <w:t xml:space="preserve">ing </w:t>
      </w:r>
      <w:r w:rsidR="00076B0B" w:rsidRPr="000727F8">
        <w:rPr>
          <w:rFonts w:ascii="Times New Roman" w:hAnsi="Times New Roman" w:cs="Times New Roman"/>
          <w:color w:val="000000"/>
          <w:sz w:val="24"/>
          <w:szCs w:val="36"/>
          <w:lang w:val="en-CA"/>
        </w:rPr>
        <w:t>station</w:t>
      </w:r>
      <w:r w:rsidRPr="000727F8">
        <w:rPr>
          <w:rFonts w:ascii="Times New Roman" w:hAnsi="Times New Roman" w:cs="Times New Roman"/>
          <w:color w:val="000000"/>
          <w:sz w:val="24"/>
          <w:szCs w:val="36"/>
          <w:lang w:val="en-CA"/>
        </w:rPr>
        <w:t>s</w:t>
      </w:r>
      <w:r w:rsidR="00076B0B" w:rsidRPr="000727F8">
        <w:rPr>
          <w:rFonts w:ascii="Times New Roman" w:hAnsi="Times New Roman" w:cs="Times New Roman"/>
          <w:color w:val="000000"/>
          <w:sz w:val="24"/>
          <w:szCs w:val="36"/>
          <w:lang w:val="en-CA"/>
        </w:rPr>
        <w:t xml:space="preserve"> and &lt;20% for discrete sampling. </w:t>
      </w:r>
    </w:p>
    <w:p w:rsidR="00D80C20" w:rsidRPr="000727F8" w:rsidRDefault="00D80C20" w:rsidP="00D80C20">
      <w:pPr>
        <w:rPr>
          <w:rFonts w:ascii="Times New Roman" w:hAnsi="Times New Roman" w:cs="Times New Roman"/>
          <w:i/>
          <w:color w:val="000000"/>
          <w:sz w:val="24"/>
          <w:szCs w:val="36"/>
          <w:lang w:val="en-US"/>
        </w:rPr>
      </w:pPr>
      <w:r w:rsidRPr="000727F8">
        <w:rPr>
          <w:rFonts w:ascii="Times New Roman" w:hAnsi="Times New Roman" w:cs="Times New Roman"/>
          <w:i/>
          <w:sz w:val="24"/>
          <w:szCs w:val="36"/>
          <w:lang w:val="en-US"/>
        </w:rPr>
        <w:t>Annual flux calculatio</w:t>
      </w:r>
      <w:r w:rsidRPr="000727F8">
        <w:rPr>
          <w:rFonts w:ascii="Times New Roman" w:hAnsi="Times New Roman" w:cs="Times New Roman"/>
          <w:i/>
          <w:color w:val="000000"/>
          <w:sz w:val="24"/>
          <w:szCs w:val="36"/>
          <w:lang w:val="en-US"/>
        </w:rPr>
        <w:t>ns for monitored rivers</w:t>
      </w:r>
    </w:p>
    <w:p w:rsidR="00D80C20" w:rsidRPr="000727F8" w:rsidRDefault="00D80C20" w:rsidP="00D80C20">
      <w:pPr>
        <w:ind w:firstLine="708"/>
        <w:jc w:val="both"/>
        <w:rPr>
          <w:rFonts w:ascii="Times New Roman" w:hAnsi="Times New Roman" w:cs="Times New Roman"/>
          <w:color w:val="000000"/>
          <w:sz w:val="24"/>
          <w:szCs w:val="36"/>
          <w:lang w:val="en-US"/>
        </w:rPr>
      </w:pPr>
      <w:r w:rsidRPr="000727F8">
        <w:rPr>
          <w:rFonts w:ascii="Times New Roman" w:hAnsi="Times New Roman" w:cs="Times New Roman"/>
          <w:color w:val="000000"/>
          <w:sz w:val="24"/>
          <w:szCs w:val="36"/>
          <w:lang w:val="en-US"/>
        </w:rPr>
        <w:t>Based on the available database, we calculated the TDS and annual flux of major elements at the 5 HYBAM monitoring stations. Figure S1 represents the distribution of daily discharge during the monitored period as well as the daily discharge distribution, which corresponded to the days sampled for TDS measurements. These graphs show that the monitoring strategy allowed sampling of all hydrological conditions at each gauging station for TDS measurements.</w:t>
      </w:r>
    </w:p>
    <w:p w:rsidR="00D80C20" w:rsidRPr="000727F8" w:rsidRDefault="00D80C20" w:rsidP="00D80C20">
      <w:pPr>
        <w:jc w:val="both"/>
        <w:rPr>
          <w:rFonts w:ascii="Times New Roman" w:hAnsi="Times New Roman" w:cs="Times New Roman"/>
          <w:color w:val="000000"/>
          <w:sz w:val="24"/>
          <w:szCs w:val="36"/>
          <w:lang w:val="en-US"/>
        </w:rPr>
      </w:pPr>
      <w:proofErr w:type="spellStart"/>
      <w:r w:rsidRPr="000727F8">
        <w:rPr>
          <w:rFonts w:ascii="Times New Roman" w:eastAsiaTheme="minorEastAsia" w:hAnsi="Times New Roman" w:cs="Times New Roman"/>
          <w:color w:val="000000"/>
          <w:sz w:val="24"/>
          <w:szCs w:val="36"/>
          <w:lang w:val="en-US"/>
        </w:rPr>
        <w:t>Moatar</w:t>
      </w:r>
      <w:proofErr w:type="spellEnd"/>
      <w:r w:rsidRPr="000727F8">
        <w:rPr>
          <w:rFonts w:ascii="Times New Roman" w:eastAsiaTheme="minorEastAsia" w:hAnsi="Times New Roman" w:cs="Times New Roman"/>
          <w:color w:val="000000"/>
          <w:sz w:val="24"/>
          <w:szCs w:val="36"/>
          <w:lang w:val="en-US"/>
        </w:rPr>
        <w:t xml:space="preserve"> et al. (2006, 2013) proposed a method to estimate annual TDS flux uncertainties based on the estimated proportion of material flux that was transported by a station during 2% of the hydrological cycle (M2%). Indeed, we calculated for each station the M2% for each station and </w:t>
      </w:r>
      <w:r w:rsidRPr="000727F8">
        <w:rPr>
          <w:rFonts w:ascii="Times New Roman" w:eastAsiaTheme="minorEastAsia" w:hAnsi="Times New Roman" w:cs="Times New Roman"/>
          <w:color w:val="000000"/>
          <w:sz w:val="24"/>
          <w:szCs w:val="36"/>
          <w:lang w:val="en-US"/>
        </w:rPr>
        <w:lastRenderedPageBreak/>
        <w:t xml:space="preserve">we used their formulas to calculate bias, uncertainties and imprecision for each station </w:t>
      </w:r>
      <w:r w:rsidRPr="000727F8">
        <w:rPr>
          <w:rFonts w:ascii="Times New Roman" w:hAnsi="Times New Roman" w:cs="Times New Roman"/>
          <w:color w:val="000000"/>
          <w:sz w:val="24"/>
          <w:szCs w:val="36"/>
          <w:lang w:val="en-US"/>
        </w:rPr>
        <w:t>(Table S</w:t>
      </w:r>
      <w:r w:rsidR="006B5F98" w:rsidRPr="000727F8">
        <w:rPr>
          <w:rFonts w:ascii="Times New Roman" w:hAnsi="Times New Roman" w:cs="Times New Roman"/>
          <w:color w:val="000000"/>
          <w:sz w:val="24"/>
          <w:szCs w:val="36"/>
          <w:lang w:val="en-US"/>
        </w:rPr>
        <w:t>6</w:t>
      </w:r>
      <w:r w:rsidRPr="000727F8">
        <w:rPr>
          <w:rFonts w:ascii="Times New Roman" w:hAnsi="Times New Roman" w:cs="Times New Roman"/>
          <w:color w:val="000000"/>
          <w:sz w:val="24"/>
          <w:szCs w:val="36"/>
          <w:lang w:val="en-US"/>
        </w:rPr>
        <w:t xml:space="preserve"> in supplementary material)</w:t>
      </w:r>
      <w:r w:rsidRPr="000727F8">
        <w:rPr>
          <w:rFonts w:ascii="Times New Roman" w:eastAsiaTheme="minorEastAsia" w:hAnsi="Times New Roman" w:cs="Times New Roman"/>
          <w:color w:val="000000"/>
          <w:sz w:val="24"/>
          <w:szCs w:val="36"/>
          <w:lang w:val="en-US"/>
        </w:rPr>
        <w:t xml:space="preserve">. </w:t>
      </w:r>
      <w:r w:rsidRPr="000727F8">
        <w:rPr>
          <w:rFonts w:ascii="Times New Roman" w:hAnsi="Times New Roman" w:cs="Times New Roman"/>
          <w:color w:val="000000"/>
          <w:sz w:val="24"/>
          <w:szCs w:val="36"/>
          <w:lang w:val="en-US"/>
        </w:rPr>
        <w:t>According to these calculations, b</w:t>
      </w:r>
      <w:r w:rsidRPr="000727F8">
        <w:rPr>
          <w:rFonts w:ascii="Times New Roman" w:eastAsiaTheme="minorEastAsia" w:hAnsi="Times New Roman" w:cs="Times New Roman"/>
          <w:color w:val="000000"/>
          <w:sz w:val="24"/>
          <w:szCs w:val="36"/>
          <w:lang w:val="en-US"/>
        </w:rPr>
        <w:t>ias was less than 2% for the five stations, and uncertainty was less than ± 15%.</w:t>
      </w:r>
    </w:p>
    <w:p w:rsidR="00076B0B" w:rsidRPr="000727F8" w:rsidRDefault="00D80C20" w:rsidP="00076B0B">
      <w:pPr>
        <w:ind w:firstLine="708"/>
        <w:jc w:val="both"/>
        <w:rPr>
          <w:rFonts w:ascii="Times New Roman" w:eastAsiaTheme="minorEastAsia" w:hAnsi="Times New Roman" w:cs="Times New Roman"/>
          <w:color w:val="000000"/>
          <w:sz w:val="24"/>
          <w:szCs w:val="36"/>
          <w:lang w:val="en-CA"/>
        </w:rPr>
      </w:pPr>
      <w:r w:rsidRPr="000727F8">
        <w:rPr>
          <w:rFonts w:ascii="Times New Roman" w:eastAsiaTheme="minorEastAsia" w:hAnsi="Times New Roman" w:cs="Times New Roman"/>
          <w:color w:val="000000"/>
          <w:sz w:val="24"/>
          <w:szCs w:val="36"/>
          <w:lang w:val="en-US"/>
        </w:rPr>
        <w:t xml:space="preserve">We also estimate the solute and TDS fluxes exported by the 23 discrete sampled rivers. At the monitoring stations, the TDS concentration did not vary more than 37% during the hydrological cycle. Because TDS concentrations and individual elements varied according to the sampling month, and because the unimodal hydrological cycle </w:t>
      </w:r>
      <w:r w:rsidR="00070F4D" w:rsidRPr="000727F8">
        <w:rPr>
          <w:rFonts w:ascii="Times New Roman" w:eastAsiaTheme="minorEastAsia" w:hAnsi="Times New Roman" w:cs="Times New Roman"/>
          <w:color w:val="000000"/>
          <w:sz w:val="24"/>
          <w:szCs w:val="36"/>
          <w:lang w:val="en-US"/>
        </w:rPr>
        <w:t>is</w:t>
      </w:r>
      <w:r w:rsidRPr="000727F8">
        <w:rPr>
          <w:rFonts w:ascii="Times New Roman" w:eastAsiaTheme="minorEastAsia" w:hAnsi="Times New Roman" w:cs="Times New Roman"/>
          <w:color w:val="000000"/>
          <w:sz w:val="24"/>
          <w:szCs w:val="36"/>
          <w:lang w:val="en-US"/>
        </w:rPr>
        <w:t xml:space="preserve"> in phase along the Pacific coast, </w:t>
      </w:r>
      <w:r w:rsidR="00076B0B" w:rsidRPr="000727F8">
        <w:rPr>
          <w:rFonts w:ascii="Times New Roman" w:eastAsiaTheme="minorEastAsia" w:hAnsi="Times New Roman" w:cs="Times New Roman"/>
          <w:color w:val="000000"/>
          <w:sz w:val="24"/>
          <w:szCs w:val="36"/>
          <w:lang w:val="en-CA"/>
        </w:rPr>
        <w:t xml:space="preserve">we </w:t>
      </w:r>
      <w:r w:rsidR="00394601" w:rsidRPr="000727F8">
        <w:rPr>
          <w:rFonts w:ascii="Times New Roman" w:eastAsiaTheme="minorEastAsia" w:hAnsi="Times New Roman" w:cs="Times New Roman"/>
          <w:color w:val="000000"/>
          <w:sz w:val="24"/>
          <w:szCs w:val="36"/>
          <w:lang w:val="en-CA"/>
        </w:rPr>
        <w:t xml:space="preserve">hypothesis that the concentration of a solute at a given station co-vary according to a similar pattern. Therefore, we </w:t>
      </w:r>
      <w:r w:rsidR="00076B0B" w:rsidRPr="000727F8">
        <w:rPr>
          <w:rFonts w:ascii="Times New Roman" w:eastAsiaTheme="minorEastAsia" w:hAnsi="Times New Roman" w:cs="Times New Roman"/>
          <w:color w:val="000000"/>
          <w:sz w:val="24"/>
          <w:szCs w:val="36"/>
          <w:lang w:val="en-CA"/>
        </w:rPr>
        <w:t>correct</w:t>
      </w:r>
      <w:r w:rsidRPr="000727F8">
        <w:rPr>
          <w:rFonts w:ascii="Times New Roman" w:eastAsiaTheme="minorEastAsia" w:hAnsi="Times New Roman" w:cs="Times New Roman"/>
          <w:color w:val="000000"/>
          <w:sz w:val="24"/>
          <w:szCs w:val="36"/>
          <w:lang w:val="en-CA"/>
        </w:rPr>
        <w:t>ed</w:t>
      </w:r>
      <w:r w:rsidR="00076B0B" w:rsidRPr="000727F8">
        <w:rPr>
          <w:rFonts w:ascii="Times New Roman" w:eastAsiaTheme="minorEastAsia" w:hAnsi="Times New Roman" w:cs="Times New Roman"/>
          <w:color w:val="000000"/>
          <w:sz w:val="24"/>
          <w:szCs w:val="36"/>
          <w:lang w:val="en-CA"/>
        </w:rPr>
        <w:t xml:space="preserve"> the discrete sampled TDS and solutes concentration according to the table reported </w:t>
      </w:r>
      <w:r w:rsidR="00EF0EAD" w:rsidRPr="000727F8">
        <w:rPr>
          <w:rFonts w:ascii="Times New Roman" w:eastAsiaTheme="minorEastAsia" w:hAnsi="Times New Roman" w:cs="Times New Roman"/>
          <w:color w:val="000000"/>
          <w:sz w:val="24"/>
          <w:szCs w:val="36"/>
          <w:lang w:val="en-CA"/>
        </w:rPr>
        <w:t>in the supplementary material (T</w:t>
      </w:r>
      <w:r w:rsidR="00076B0B" w:rsidRPr="000727F8">
        <w:rPr>
          <w:rFonts w:ascii="Times New Roman" w:eastAsiaTheme="minorEastAsia" w:hAnsi="Times New Roman" w:cs="Times New Roman"/>
          <w:color w:val="000000"/>
          <w:sz w:val="24"/>
          <w:szCs w:val="36"/>
          <w:lang w:val="en-CA"/>
        </w:rPr>
        <w:t>able S</w:t>
      </w:r>
      <w:r w:rsidR="006B5F98" w:rsidRPr="000727F8">
        <w:rPr>
          <w:rFonts w:ascii="Times New Roman" w:eastAsiaTheme="minorEastAsia" w:hAnsi="Times New Roman" w:cs="Times New Roman"/>
          <w:color w:val="000000"/>
          <w:sz w:val="24"/>
          <w:szCs w:val="36"/>
          <w:lang w:val="en-CA"/>
        </w:rPr>
        <w:t>7</w:t>
      </w:r>
      <w:r w:rsidR="00394601" w:rsidRPr="000727F8">
        <w:rPr>
          <w:rFonts w:ascii="Times New Roman" w:eastAsiaTheme="minorEastAsia" w:hAnsi="Times New Roman" w:cs="Times New Roman"/>
          <w:color w:val="000000"/>
          <w:sz w:val="24"/>
          <w:szCs w:val="36"/>
          <w:lang w:val="en-CA"/>
        </w:rPr>
        <w:t>).</w:t>
      </w:r>
      <w:r w:rsidR="00076B0B" w:rsidRPr="000727F8">
        <w:rPr>
          <w:rFonts w:ascii="Times New Roman" w:eastAsiaTheme="minorEastAsia" w:hAnsi="Times New Roman" w:cs="Times New Roman"/>
          <w:color w:val="000000"/>
          <w:sz w:val="24"/>
          <w:szCs w:val="36"/>
          <w:lang w:val="en-CA"/>
        </w:rPr>
        <w:t xml:space="preserve"> We then multiplied the corrected concentration by the annual discharge to estimate annual flux. </w:t>
      </w:r>
    </w:p>
    <w:p w:rsidR="00076B0B" w:rsidRPr="000727F8" w:rsidRDefault="00076B0B" w:rsidP="00076B0B">
      <w:pPr>
        <w:ind w:firstLine="708"/>
        <w:jc w:val="both"/>
        <w:rPr>
          <w:rFonts w:ascii="Times New Roman" w:hAnsi="Times New Roman" w:cs="Times New Roman"/>
          <w:color w:val="000000"/>
          <w:sz w:val="24"/>
          <w:szCs w:val="36"/>
          <w:lang w:val="en-CA"/>
        </w:rPr>
      </w:pPr>
      <w:r w:rsidRPr="000727F8">
        <w:rPr>
          <w:rFonts w:ascii="Times New Roman" w:hAnsi="Times New Roman" w:cs="Times New Roman"/>
          <w:color w:val="000000"/>
          <w:sz w:val="24"/>
          <w:szCs w:val="36"/>
          <w:lang w:val="en-CA"/>
        </w:rPr>
        <w:t xml:space="preserve">The TDS specific flux </w:t>
      </w:r>
      <w:r w:rsidR="00D80C20" w:rsidRPr="000727F8">
        <w:rPr>
          <w:rFonts w:ascii="Times New Roman" w:hAnsi="Times New Roman" w:cs="Times New Roman"/>
          <w:color w:val="000000"/>
          <w:sz w:val="24"/>
          <w:szCs w:val="36"/>
          <w:lang w:val="en-CA"/>
        </w:rPr>
        <w:t>was</w:t>
      </w:r>
      <w:r w:rsidRPr="000727F8">
        <w:rPr>
          <w:rFonts w:ascii="Times New Roman" w:hAnsi="Times New Roman" w:cs="Times New Roman"/>
          <w:color w:val="000000"/>
          <w:sz w:val="24"/>
          <w:szCs w:val="36"/>
          <w:lang w:val="en-CA"/>
        </w:rPr>
        <w:t xml:space="preserve"> calculated by dividing the flux by the total area of the basin at the gauging station.</w:t>
      </w:r>
    </w:p>
    <w:p w:rsidR="00562AFB" w:rsidRPr="000727F8" w:rsidRDefault="00562AFB" w:rsidP="00562AFB">
      <w:pPr>
        <w:rPr>
          <w:rFonts w:ascii="Times New Roman" w:hAnsi="Times New Roman" w:cs="Times New Roman"/>
          <w:i/>
          <w:sz w:val="24"/>
          <w:szCs w:val="36"/>
          <w:lang w:val="en-CA"/>
        </w:rPr>
      </w:pPr>
    </w:p>
    <w:p w:rsidR="00562AFB" w:rsidRPr="000727F8" w:rsidRDefault="00562AFB" w:rsidP="00C93669">
      <w:pPr>
        <w:jc w:val="both"/>
        <w:rPr>
          <w:rFonts w:ascii="Times New Roman" w:hAnsi="Times New Roman" w:cs="Times New Roman"/>
          <w:i/>
          <w:color w:val="000000"/>
          <w:sz w:val="24"/>
          <w:szCs w:val="36"/>
          <w:lang w:val="en-CA"/>
        </w:rPr>
      </w:pPr>
      <w:r w:rsidRPr="000727F8">
        <w:rPr>
          <w:rFonts w:ascii="Times New Roman" w:hAnsi="Times New Roman" w:cs="Times New Roman"/>
          <w:i/>
          <w:sz w:val="24"/>
          <w:szCs w:val="36"/>
          <w:lang w:val="en-CA"/>
        </w:rPr>
        <w:t>Atmospheric correction</w:t>
      </w:r>
    </w:p>
    <w:p w:rsidR="00B5350B" w:rsidRDefault="00D80C20" w:rsidP="00C93669">
      <w:pPr>
        <w:jc w:val="both"/>
        <w:rPr>
          <w:rFonts w:ascii="Times New Roman" w:hAnsi="Times New Roman" w:cs="Times New Roman"/>
          <w:color w:val="000000"/>
          <w:sz w:val="24"/>
          <w:szCs w:val="36"/>
          <w:lang w:val="en-CA"/>
        </w:rPr>
      </w:pPr>
      <w:r w:rsidRPr="000727F8">
        <w:rPr>
          <w:rFonts w:ascii="Times New Roman" w:hAnsi="Times New Roman" w:cs="Times New Roman"/>
          <w:color w:val="000000"/>
          <w:sz w:val="24"/>
          <w:szCs w:val="36"/>
          <w:lang w:val="en-US"/>
        </w:rPr>
        <w:t xml:space="preserve">Atmospheric inputs were estimated based on the following formula: </w:t>
      </w:r>
      <w:proofErr w:type="spellStart"/>
      <w:r w:rsidRPr="000727F8">
        <w:rPr>
          <w:rFonts w:ascii="Times New Roman" w:hAnsi="Times New Roman" w:cs="Times New Roman"/>
          <w:color w:val="000000"/>
          <w:sz w:val="24"/>
          <w:szCs w:val="36"/>
          <w:lang w:val="en-US"/>
        </w:rPr>
        <w:t>X</w:t>
      </w:r>
      <w:r w:rsidRPr="000727F8">
        <w:rPr>
          <w:rFonts w:ascii="Times New Roman" w:hAnsi="Times New Roman" w:cs="Times New Roman"/>
          <w:color w:val="000000"/>
          <w:sz w:val="24"/>
          <w:szCs w:val="36"/>
          <w:vertAlign w:val="subscript"/>
          <w:lang w:val="en-US"/>
        </w:rPr>
        <w:t>atm</w:t>
      </w:r>
      <w:proofErr w:type="spellEnd"/>
      <w:r w:rsidRPr="000727F8">
        <w:rPr>
          <w:rFonts w:ascii="Times New Roman" w:hAnsi="Times New Roman" w:cs="Times New Roman"/>
          <w:color w:val="000000"/>
          <w:sz w:val="24"/>
          <w:szCs w:val="36"/>
          <w:lang w:val="en-US"/>
        </w:rPr>
        <w:t xml:space="preserve"> = </w:t>
      </w:r>
      <w:proofErr w:type="spellStart"/>
      <w:r w:rsidRPr="000727F8">
        <w:rPr>
          <w:rFonts w:ascii="Times New Roman" w:hAnsi="Times New Roman" w:cs="Times New Roman"/>
          <w:color w:val="000000"/>
          <w:sz w:val="24"/>
          <w:szCs w:val="36"/>
          <w:lang w:val="en-US"/>
        </w:rPr>
        <w:t>Cl</w:t>
      </w:r>
      <w:r w:rsidRPr="000727F8">
        <w:rPr>
          <w:rFonts w:ascii="Times New Roman" w:hAnsi="Times New Roman" w:cs="Times New Roman"/>
          <w:color w:val="000000"/>
          <w:sz w:val="24"/>
          <w:szCs w:val="36"/>
          <w:vertAlign w:val="subscript"/>
          <w:lang w:val="en-US"/>
        </w:rPr>
        <w:t>riv</w:t>
      </w:r>
      <w:proofErr w:type="spellEnd"/>
      <w:r w:rsidRPr="000727F8">
        <w:rPr>
          <w:rFonts w:ascii="Times New Roman" w:hAnsi="Times New Roman" w:cs="Times New Roman"/>
          <w:color w:val="000000"/>
          <w:sz w:val="24"/>
          <w:szCs w:val="36"/>
          <w:vertAlign w:val="subscript"/>
          <w:lang w:val="en-US"/>
        </w:rPr>
        <w:t xml:space="preserve"> </w:t>
      </w:r>
      <w:proofErr w:type="spellStart"/>
      <w:r w:rsidRPr="000727F8">
        <w:rPr>
          <w:rFonts w:ascii="Times New Roman" w:hAnsi="Times New Roman" w:cs="Times New Roman"/>
          <w:color w:val="000000"/>
          <w:sz w:val="24"/>
          <w:szCs w:val="36"/>
          <w:vertAlign w:val="subscript"/>
          <w:lang w:val="en-US"/>
        </w:rPr>
        <w:t>atm</w:t>
      </w:r>
      <w:proofErr w:type="spellEnd"/>
      <w:r w:rsidRPr="000727F8">
        <w:rPr>
          <w:rFonts w:ascii="Times New Roman" w:hAnsi="Times New Roman" w:cs="Times New Roman"/>
          <w:color w:val="000000"/>
          <w:sz w:val="24"/>
          <w:szCs w:val="36"/>
          <w:vertAlign w:val="subscript"/>
          <w:lang w:val="en-US"/>
        </w:rPr>
        <w:t xml:space="preserve"> </w:t>
      </w:r>
      <w:r w:rsidRPr="000727F8">
        <w:rPr>
          <w:rFonts w:ascii="Times New Roman" w:hAnsi="Times New Roman" w:cs="Times New Roman"/>
          <w:color w:val="000000"/>
          <w:sz w:val="24"/>
          <w:szCs w:val="36"/>
          <w:lang w:val="en-US"/>
        </w:rPr>
        <w:t>* (X/Cl</w:t>
      </w:r>
      <w:proofErr w:type="gramStart"/>
      <w:r w:rsidRPr="000727F8">
        <w:rPr>
          <w:rFonts w:ascii="Times New Roman" w:hAnsi="Times New Roman" w:cs="Times New Roman"/>
          <w:color w:val="000000"/>
          <w:sz w:val="24"/>
          <w:szCs w:val="36"/>
          <w:lang w:val="en-US"/>
        </w:rPr>
        <w:t>)</w:t>
      </w:r>
      <w:proofErr w:type="spellStart"/>
      <w:r w:rsidRPr="000727F8">
        <w:rPr>
          <w:rFonts w:ascii="Times New Roman" w:hAnsi="Times New Roman" w:cs="Times New Roman"/>
          <w:color w:val="000000"/>
          <w:sz w:val="24"/>
          <w:szCs w:val="36"/>
          <w:vertAlign w:val="subscript"/>
          <w:lang w:val="en-US"/>
        </w:rPr>
        <w:t>cycl</w:t>
      </w:r>
      <w:proofErr w:type="spellEnd"/>
      <w:proofErr w:type="gramEnd"/>
      <w:r w:rsidRPr="000727F8">
        <w:rPr>
          <w:rFonts w:ascii="Times New Roman" w:hAnsi="Times New Roman" w:cs="Times New Roman"/>
          <w:color w:val="000000"/>
          <w:sz w:val="24"/>
          <w:szCs w:val="36"/>
          <w:lang w:val="en-US"/>
        </w:rPr>
        <w:t xml:space="preserve">, where Cl </w:t>
      </w:r>
      <w:proofErr w:type="spellStart"/>
      <w:r w:rsidRPr="000727F8">
        <w:rPr>
          <w:rFonts w:ascii="Times New Roman" w:hAnsi="Times New Roman" w:cs="Times New Roman"/>
          <w:color w:val="000000"/>
          <w:sz w:val="24"/>
          <w:szCs w:val="36"/>
          <w:vertAlign w:val="subscript"/>
          <w:lang w:val="en-US"/>
        </w:rPr>
        <w:t>riv</w:t>
      </w:r>
      <w:proofErr w:type="spellEnd"/>
      <w:r w:rsidRPr="000727F8">
        <w:rPr>
          <w:rFonts w:ascii="Times New Roman" w:hAnsi="Times New Roman" w:cs="Times New Roman"/>
          <w:color w:val="000000"/>
          <w:sz w:val="24"/>
          <w:szCs w:val="36"/>
          <w:vertAlign w:val="subscript"/>
          <w:lang w:val="en-US"/>
        </w:rPr>
        <w:t xml:space="preserve"> </w:t>
      </w:r>
      <w:proofErr w:type="spellStart"/>
      <w:r w:rsidRPr="000727F8">
        <w:rPr>
          <w:rFonts w:ascii="Times New Roman" w:hAnsi="Times New Roman" w:cs="Times New Roman"/>
          <w:color w:val="000000"/>
          <w:sz w:val="24"/>
          <w:szCs w:val="36"/>
          <w:vertAlign w:val="subscript"/>
          <w:lang w:val="en-US"/>
        </w:rPr>
        <w:t>atm</w:t>
      </w:r>
      <w:proofErr w:type="spellEnd"/>
      <w:r w:rsidRPr="000727F8">
        <w:rPr>
          <w:rFonts w:ascii="Times New Roman" w:hAnsi="Times New Roman" w:cs="Times New Roman"/>
          <w:color w:val="000000"/>
          <w:sz w:val="24"/>
          <w:szCs w:val="36"/>
          <w:lang w:val="en-US"/>
        </w:rPr>
        <w:t xml:space="preserve"> is the Cl concentration in the river derived from atmospheric inputs, and X </w:t>
      </w:r>
      <w:r w:rsidR="00070F4D" w:rsidRPr="000727F8">
        <w:rPr>
          <w:rFonts w:ascii="Times New Roman" w:hAnsi="Times New Roman" w:cs="Times New Roman"/>
          <w:color w:val="000000"/>
          <w:sz w:val="24"/>
          <w:szCs w:val="36"/>
          <w:lang w:val="en-US"/>
        </w:rPr>
        <w:t>is</w:t>
      </w:r>
      <w:r w:rsidRPr="000727F8">
        <w:rPr>
          <w:rFonts w:ascii="Times New Roman" w:hAnsi="Times New Roman" w:cs="Times New Roman"/>
          <w:color w:val="000000"/>
          <w:sz w:val="24"/>
          <w:szCs w:val="36"/>
          <w:lang w:val="en-US"/>
        </w:rPr>
        <w:t xml:space="preserve"> the element considered. We used the typical marine Cl ratio (ex: </w:t>
      </w:r>
      <w:proofErr w:type="spellStart"/>
      <w:r w:rsidRPr="000727F8">
        <w:rPr>
          <w:rFonts w:ascii="Times New Roman" w:hAnsi="Times New Roman" w:cs="Times New Roman"/>
          <w:color w:val="000000"/>
          <w:sz w:val="24"/>
          <w:szCs w:val="36"/>
          <w:lang w:val="en-US"/>
        </w:rPr>
        <w:t>Berner</w:t>
      </w:r>
      <w:proofErr w:type="spellEnd"/>
      <w:r w:rsidRPr="000727F8">
        <w:rPr>
          <w:rFonts w:ascii="Times New Roman" w:hAnsi="Times New Roman" w:cs="Times New Roman"/>
          <w:color w:val="000000"/>
          <w:sz w:val="24"/>
          <w:szCs w:val="36"/>
          <w:lang w:val="en-US"/>
        </w:rPr>
        <w:t xml:space="preserve"> and </w:t>
      </w:r>
      <w:proofErr w:type="spellStart"/>
      <w:r w:rsidRPr="000727F8">
        <w:rPr>
          <w:rFonts w:ascii="Times New Roman" w:hAnsi="Times New Roman" w:cs="Times New Roman"/>
          <w:color w:val="000000"/>
          <w:sz w:val="24"/>
          <w:szCs w:val="36"/>
          <w:lang w:val="en-US"/>
        </w:rPr>
        <w:t>Berner</w:t>
      </w:r>
      <w:proofErr w:type="spellEnd"/>
      <w:r w:rsidRPr="000727F8">
        <w:rPr>
          <w:rFonts w:ascii="Times New Roman" w:hAnsi="Times New Roman" w:cs="Times New Roman"/>
          <w:color w:val="000000"/>
          <w:sz w:val="24"/>
          <w:szCs w:val="36"/>
          <w:lang w:val="en-US"/>
        </w:rPr>
        <w:t xml:space="preserve">, 1983). Cl </w:t>
      </w:r>
      <w:proofErr w:type="spellStart"/>
      <w:r w:rsidRPr="000727F8">
        <w:rPr>
          <w:rFonts w:ascii="Times New Roman" w:hAnsi="Times New Roman" w:cs="Times New Roman"/>
          <w:color w:val="000000"/>
          <w:sz w:val="24"/>
          <w:szCs w:val="36"/>
          <w:lang w:val="en-US"/>
        </w:rPr>
        <w:t>riv</w:t>
      </w:r>
      <w:proofErr w:type="spellEnd"/>
      <w:r w:rsidRPr="000727F8">
        <w:rPr>
          <w:rFonts w:ascii="Times New Roman" w:hAnsi="Times New Roman" w:cs="Times New Roman"/>
          <w:color w:val="000000"/>
          <w:sz w:val="24"/>
          <w:szCs w:val="36"/>
          <w:lang w:val="en-US"/>
        </w:rPr>
        <w:t xml:space="preserve"> </w:t>
      </w:r>
      <w:proofErr w:type="spellStart"/>
      <w:r w:rsidRPr="000727F8">
        <w:rPr>
          <w:rFonts w:ascii="Times New Roman" w:hAnsi="Times New Roman" w:cs="Times New Roman"/>
          <w:color w:val="000000"/>
          <w:sz w:val="24"/>
          <w:szCs w:val="36"/>
          <w:lang w:val="en-US"/>
        </w:rPr>
        <w:t>atm</w:t>
      </w:r>
      <w:proofErr w:type="spellEnd"/>
      <w:r w:rsidRPr="000727F8">
        <w:rPr>
          <w:rFonts w:ascii="Times New Roman" w:hAnsi="Times New Roman" w:cs="Times New Roman"/>
          <w:color w:val="000000"/>
          <w:sz w:val="24"/>
          <w:szCs w:val="36"/>
          <w:lang w:val="en-US"/>
        </w:rPr>
        <w:t xml:space="preserve"> </w:t>
      </w:r>
      <w:r w:rsidR="00070F4D" w:rsidRPr="000727F8">
        <w:rPr>
          <w:rFonts w:ascii="Times New Roman" w:hAnsi="Times New Roman" w:cs="Times New Roman"/>
          <w:color w:val="000000"/>
          <w:sz w:val="24"/>
          <w:szCs w:val="36"/>
          <w:lang w:val="en-US"/>
        </w:rPr>
        <w:t>is</w:t>
      </w:r>
      <w:r w:rsidRPr="000727F8">
        <w:rPr>
          <w:rFonts w:ascii="Times New Roman" w:hAnsi="Times New Roman" w:cs="Times New Roman"/>
          <w:color w:val="000000"/>
          <w:sz w:val="24"/>
          <w:szCs w:val="36"/>
          <w:lang w:val="en-US"/>
        </w:rPr>
        <w:t xml:space="preserve"> considered to be constant </w:t>
      </w:r>
      <w:r w:rsidR="00EF6DCC" w:rsidRPr="000727F8">
        <w:rPr>
          <w:rFonts w:ascii="Times New Roman" w:hAnsi="Times New Roman" w:cs="Times New Roman"/>
          <w:color w:val="000000"/>
          <w:sz w:val="24"/>
          <w:szCs w:val="36"/>
          <w:lang w:val="en-US"/>
        </w:rPr>
        <w:t xml:space="preserve">throughout the Pacific coast basins </w:t>
      </w:r>
      <w:r w:rsidRPr="000727F8">
        <w:rPr>
          <w:rFonts w:ascii="Times New Roman" w:hAnsi="Times New Roman" w:cs="Times New Roman"/>
          <w:color w:val="000000"/>
          <w:sz w:val="24"/>
          <w:szCs w:val="36"/>
          <w:lang w:val="en-US"/>
        </w:rPr>
        <w:t xml:space="preserve">and </w:t>
      </w:r>
      <w:r w:rsidR="00070F4D" w:rsidRPr="000727F8">
        <w:rPr>
          <w:rFonts w:ascii="Times New Roman" w:hAnsi="Times New Roman" w:cs="Times New Roman"/>
          <w:color w:val="000000"/>
          <w:sz w:val="24"/>
          <w:szCs w:val="36"/>
          <w:lang w:val="en-US"/>
        </w:rPr>
        <w:t>is</w:t>
      </w:r>
      <w:r w:rsidRPr="000727F8">
        <w:rPr>
          <w:rFonts w:ascii="Times New Roman" w:hAnsi="Times New Roman" w:cs="Times New Roman"/>
          <w:color w:val="000000"/>
          <w:sz w:val="24"/>
          <w:szCs w:val="36"/>
          <w:lang w:val="en-US"/>
        </w:rPr>
        <w:t xml:space="preserve"> determined based on the lowest Cl concentration recorded in Pacific rivers from the database</w:t>
      </w:r>
      <w:r w:rsidRPr="000727F8">
        <w:rPr>
          <w:rFonts w:ascii="Times New Roman" w:hAnsi="Times New Roman" w:cs="Times New Roman"/>
          <w:color w:val="000000"/>
          <w:sz w:val="24"/>
          <w:szCs w:val="36"/>
          <w:lang w:val="en-CA"/>
        </w:rPr>
        <w:t xml:space="preserve"> </w:t>
      </w:r>
      <w:r w:rsidR="00562AFB" w:rsidRPr="000727F8">
        <w:rPr>
          <w:rFonts w:ascii="Times New Roman" w:hAnsi="Times New Roman" w:cs="Times New Roman"/>
          <w:color w:val="000000"/>
          <w:sz w:val="24"/>
          <w:szCs w:val="36"/>
          <w:lang w:val="en-CA"/>
        </w:rPr>
        <w:t xml:space="preserve">(Cl </w:t>
      </w:r>
      <w:proofErr w:type="spellStart"/>
      <w:r w:rsidR="00562AFB" w:rsidRPr="000727F8">
        <w:rPr>
          <w:rFonts w:ascii="Times New Roman" w:hAnsi="Times New Roman" w:cs="Times New Roman"/>
          <w:color w:val="000000"/>
          <w:sz w:val="24"/>
          <w:szCs w:val="36"/>
          <w:vertAlign w:val="subscript"/>
          <w:lang w:val="en-CA"/>
        </w:rPr>
        <w:t>atm</w:t>
      </w:r>
      <w:proofErr w:type="spellEnd"/>
      <w:r w:rsidR="00562AFB" w:rsidRPr="000727F8">
        <w:rPr>
          <w:rFonts w:ascii="Times New Roman" w:hAnsi="Times New Roman" w:cs="Times New Roman"/>
          <w:color w:val="000000"/>
          <w:sz w:val="24"/>
          <w:szCs w:val="36"/>
          <w:vertAlign w:val="subscript"/>
          <w:lang w:val="en-CA"/>
        </w:rPr>
        <w:t xml:space="preserve"> </w:t>
      </w:r>
      <w:proofErr w:type="spellStart"/>
      <w:r w:rsidR="00562AFB" w:rsidRPr="000727F8">
        <w:rPr>
          <w:rFonts w:ascii="Times New Roman" w:hAnsi="Times New Roman" w:cs="Times New Roman"/>
          <w:color w:val="000000"/>
          <w:sz w:val="24"/>
          <w:szCs w:val="36"/>
          <w:vertAlign w:val="subscript"/>
          <w:lang w:val="en-CA"/>
        </w:rPr>
        <w:t>riv</w:t>
      </w:r>
      <w:proofErr w:type="spellEnd"/>
      <w:r w:rsidR="00562AFB" w:rsidRPr="000727F8">
        <w:rPr>
          <w:rFonts w:ascii="Times New Roman" w:hAnsi="Times New Roman" w:cs="Times New Roman"/>
          <w:color w:val="000000"/>
          <w:sz w:val="24"/>
          <w:szCs w:val="36"/>
          <w:lang w:val="en-CA"/>
        </w:rPr>
        <w:t xml:space="preserve"> = 0.02</w:t>
      </w:r>
      <w:r w:rsidR="005D05F6" w:rsidRPr="000727F8">
        <w:rPr>
          <w:rFonts w:ascii="Times New Roman" w:hAnsi="Times New Roman" w:cs="Times New Roman"/>
          <w:color w:val="000000"/>
          <w:sz w:val="24"/>
          <w:szCs w:val="36"/>
          <w:lang w:val="en-CA"/>
        </w:rPr>
        <w:t xml:space="preserve"> </w:t>
      </w:r>
      <w:proofErr w:type="spellStart"/>
      <w:r w:rsidR="00562AFB" w:rsidRPr="000727F8">
        <w:rPr>
          <w:rFonts w:ascii="Times New Roman" w:hAnsi="Times New Roman" w:cs="Times New Roman"/>
          <w:color w:val="000000"/>
          <w:sz w:val="24"/>
          <w:szCs w:val="36"/>
          <w:lang w:val="en-CA"/>
        </w:rPr>
        <w:t>mmoles</w:t>
      </w:r>
      <w:proofErr w:type="spellEnd"/>
      <w:r w:rsidR="005D05F6" w:rsidRPr="000727F8">
        <w:rPr>
          <w:rFonts w:ascii="Times New Roman" w:hAnsi="Times New Roman" w:cs="Times New Roman"/>
          <w:color w:val="000000"/>
          <w:sz w:val="24"/>
          <w:szCs w:val="36"/>
          <w:lang w:val="en-CA"/>
        </w:rPr>
        <w:t xml:space="preserve"> </w:t>
      </w:r>
      <w:r w:rsidR="00562AFB" w:rsidRPr="000727F8">
        <w:rPr>
          <w:rFonts w:ascii="Times New Roman" w:hAnsi="Times New Roman" w:cs="Times New Roman"/>
          <w:color w:val="000000"/>
          <w:sz w:val="24"/>
          <w:szCs w:val="36"/>
          <w:lang w:val="en-CA"/>
        </w:rPr>
        <w:t>l</w:t>
      </w:r>
      <w:r w:rsidR="00562AFB" w:rsidRPr="000727F8">
        <w:rPr>
          <w:rFonts w:ascii="Times New Roman" w:hAnsi="Times New Roman" w:cs="Times New Roman"/>
          <w:color w:val="000000"/>
          <w:sz w:val="24"/>
          <w:szCs w:val="36"/>
          <w:vertAlign w:val="superscript"/>
          <w:lang w:val="en-CA"/>
        </w:rPr>
        <w:t>-1</w:t>
      </w:r>
      <w:r w:rsidR="00562AFB" w:rsidRPr="000727F8">
        <w:rPr>
          <w:rFonts w:ascii="Times New Roman" w:hAnsi="Times New Roman" w:cs="Times New Roman"/>
          <w:color w:val="000000"/>
          <w:sz w:val="24"/>
          <w:szCs w:val="36"/>
          <w:lang w:val="en-CA"/>
        </w:rPr>
        <w:t>).</w:t>
      </w:r>
    </w:p>
    <w:p w:rsidR="00D92B55" w:rsidRDefault="00D92B55" w:rsidP="00D92B55">
      <w:pPr>
        <w:jc w:val="both"/>
        <w:rPr>
          <w:rFonts w:ascii="Times New Roman" w:hAnsi="Times New Roman" w:cs="Times New Roman"/>
          <w:color w:val="000000"/>
          <w:sz w:val="24"/>
          <w:szCs w:val="36"/>
          <w:lang w:val="en-CA"/>
        </w:rPr>
      </w:pPr>
    </w:p>
    <w:p w:rsidR="00D92B55" w:rsidRPr="00D92B55" w:rsidRDefault="00D92B55" w:rsidP="00D92B55">
      <w:pPr>
        <w:jc w:val="both"/>
        <w:rPr>
          <w:lang w:val="en-CA"/>
        </w:rPr>
      </w:pPr>
    </w:p>
    <w:sectPr w:rsidR="00D92B55" w:rsidRPr="00D92B5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B0B"/>
    <w:rsid w:val="00037802"/>
    <w:rsid w:val="00070F4D"/>
    <w:rsid w:val="000727F8"/>
    <w:rsid w:val="00076B0B"/>
    <w:rsid w:val="00327660"/>
    <w:rsid w:val="00394601"/>
    <w:rsid w:val="00562AFB"/>
    <w:rsid w:val="005D05F6"/>
    <w:rsid w:val="00673A23"/>
    <w:rsid w:val="00687706"/>
    <w:rsid w:val="006B5F98"/>
    <w:rsid w:val="00764F9F"/>
    <w:rsid w:val="007F284C"/>
    <w:rsid w:val="00B5350B"/>
    <w:rsid w:val="00BD5490"/>
    <w:rsid w:val="00C93669"/>
    <w:rsid w:val="00D80C20"/>
    <w:rsid w:val="00D92B55"/>
    <w:rsid w:val="00EA1578"/>
    <w:rsid w:val="00EF0EAD"/>
    <w:rsid w:val="00EF6DC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DDC916-83D5-4A71-8869-56C5CDDEA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B0B"/>
    <w:pPr>
      <w:spacing w:after="200" w:line="276" w:lineRule="auto"/>
    </w:pPr>
  </w:style>
  <w:style w:type="paragraph" w:styleId="Heading3">
    <w:name w:val="heading 3"/>
    <w:basedOn w:val="Normal"/>
    <w:next w:val="Normal"/>
    <w:link w:val="Heading3Char"/>
    <w:uiPriority w:val="9"/>
    <w:unhideWhenUsed/>
    <w:qFormat/>
    <w:rsid w:val="00076B0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76B0B"/>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076B0B"/>
    <w:rPr>
      <w:color w:val="0563C1" w:themeColor="hyperlink"/>
      <w:u w:val="single"/>
    </w:rPr>
  </w:style>
  <w:style w:type="paragraph" w:styleId="BalloonText">
    <w:name w:val="Balloon Text"/>
    <w:basedOn w:val="Normal"/>
    <w:link w:val="BalloonTextChar"/>
    <w:uiPriority w:val="99"/>
    <w:semiHidden/>
    <w:unhideWhenUsed/>
    <w:rsid w:val="000378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78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geog.ucsb.edu/~bodo/TRM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711</Words>
  <Characters>4053</Characters>
  <Application>Microsoft Office Word</Application>
  <DocSecurity>0</DocSecurity>
  <Lines>33</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Hewlett-Packard Company</Company>
  <LinksUpToDate>false</LinksUpToDate>
  <CharactersWithSpaces>4755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moquet</dc:creator>
  <cp:keywords/>
  <dc:description/>
  <cp:lastModifiedBy>Francis Lama</cp:lastModifiedBy>
  <cp:revision>2</cp:revision>
  <dcterms:created xsi:type="dcterms:W3CDTF">2017-12-04T13:23:00Z</dcterms:created>
  <dcterms:modified xsi:type="dcterms:W3CDTF">2017-12-04T13:23:00Z</dcterms:modified>
</cp:coreProperties>
</file>